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70E0" w14:textId="77777777" w:rsidR="00CC3410" w:rsidRPr="002B337A" w:rsidRDefault="00CC3410" w:rsidP="004750F4">
      <w:pPr>
        <w:rPr>
          <w:u w:val="single"/>
        </w:rPr>
      </w:pPr>
      <w:r w:rsidRPr="002B337A">
        <w:rPr>
          <w:noProof/>
          <w:lang w:eastAsia="en-GB"/>
        </w:rPr>
        <w:drawing>
          <wp:inline distT="0" distB="0" distL="0" distR="0" wp14:anchorId="3705969B" wp14:editId="6C6F9465">
            <wp:extent cx="5734050" cy="1571625"/>
            <wp:effectExtent l="0" t="0" r="0" b="0"/>
            <wp:docPr id="2" name="Picture 2" descr="\\bournemouth.ac.uk\data\staff\home\anaidoo\Profile\Desktop\DorsetLEP_RedYellowBlack-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ac.uk\data\staff\home\anaidoo\Profile\Desktop\DorsetLEP_RedYellowBlack-1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571625"/>
                    </a:xfrm>
                    <a:prstGeom prst="rect">
                      <a:avLst/>
                    </a:prstGeom>
                    <a:noFill/>
                    <a:ln>
                      <a:noFill/>
                    </a:ln>
                  </pic:spPr>
                </pic:pic>
              </a:graphicData>
            </a:graphic>
          </wp:inline>
        </w:drawing>
      </w:r>
    </w:p>
    <w:p w14:paraId="1FA21094" w14:textId="77777777" w:rsidR="00CC3410" w:rsidRPr="002B337A" w:rsidRDefault="00CC3410" w:rsidP="004750F4"/>
    <w:p w14:paraId="2762B105" w14:textId="77777777" w:rsidR="00CC3410" w:rsidRPr="002B337A" w:rsidRDefault="00CC3410" w:rsidP="004750F4">
      <w:r w:rsidRPr="002B337A">
        <w:rPr>
          <w:noProof/>
          <w:lang w:eastAsia="en-GB"/>
        </w:rPr>
        <mc:AlternateContent>
          <mc:Choice Requires="wps">
            <w:drawing>
              <wp:anchor distT="0" distB="0" distL="114300" distR="114300" simplePos="0" relativeHeight="251656192" behindDoc="0" locked="0" layoutInCell="1" allowOverlap="1" wp14:anchorId="0F9CC99A" wp14:editId="0CEEC36F">
                <wp:simplePos x="0" y="0"/>
                <wp:positionH relativeFrom="column">
                  <wp:align>center</wp:align>
                </wp:positionH>
                <wp:positionV relativeFrom="paragraph">
                  <wp:posOffset>0</wp:posOffset>
                </wp:positionV>
                <wp:extent cx="5441950" cy="57626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5762625"/>
                        </a:xfrm>
                        <a:prstGeom prst="rect">
                          <a:avLst/>
                        </a:prstGeom>
                        <a:solidFill>
                          <a:srgbClr val="FFCC00"/>
                        </a:solidFill>
                        <a:ln w="9525">
                          <a:solidFill>
                            <a:srgbClr val="000000"/>
                          </a:solidFill>
                          <a:miter lim="800000"/>
                          <a:headEnd/>
                          <a:tailEnd/>
                        </a:ln>
                      </wps:spPr>
                      <wps:txbx>
                        <w:txbxContent>
                          <w:p w14:paraId="77A52007" w14:textId="77777777" w:rsidR="00BF4538" w:rsidRPr="00FB1A7B" w:rsidRDefault="00BF4538" w:rsidP="004750F4"/>
                          <w:p w14:paraId="14CAA541" w14:textId="1296B8E2" w:rsidR="00BF4538" w:rsidRPr="008B181C" w:rsidRDefault="00643B0F" w:rsidP="008B181C">
                            <w:pPr>
                              <w:jc w:val="center"/>
                              <w:rPr>
                                <w:b/>
                                <w:sz w:val="36"/>
                              </w:rPr>
                            </w:pPr>
                            <w:r w:rsidRPr="008B181C">
                              <w:rPr>
                                <w:b/>
                                <w:sz w:val="36"/>
                              </w:rPr>
                              <w:t>Institute for Medical Imaging and Visualisation</w:t>
                            </w:r>
                          </w:p>
                          <w:p w14:paraId="3D327A11" w14:textId="77777777" w:rsidR="00BF4538" w:rsidRPr="008B181C" w:rsidRDefault="00BF4538" w:rsidP="008B181C">
                            <w:pPr>
                              <w:jc w:val="center"/>
                              <w:rPr>
                                <w:b/>
                                <w:sz w:val="36"/>
                              </w:rPr>
                            </w:pPr>
                          </w:p>
                          <w:p w14:paraId="5481B4A4" w14:textId="77777777" w:rsidR="00BF4538" w:rsidRPr="008B181C" w:rsidRDefault="00BF4538" w:rsidP="008B181C">
                            <w:pPr>
                              <w:jc w:val="center"/>
                              <w:rPr>
                                <w:b/>
                                <w:sz w:val="36"/>
                              </w:rPr>
                            </w:pPr>
                            <w:r w:rsidRPr="008B181C">
                              <w:rPr>
                                <w:b/>
                                <w:sz w:val="36"/>
                              </w:rPr>
                              <w:t>End of Project Report</w:t>
                            </w:r>
                          </w:p>
                          <w:p w14:paraId="0EFBE8F3" w14:textId="77777777" w:rsidR="00BF4538" w:rsidRPr="008B181C" w:rsidRDefault="00BF4538" w:rsidP="008B181C">
                            <w:pPr>
                              <w:jc w:val="center"/>
                              <w:rPr>
                                <w:b/>
                                <w:sz w:val="36"/>
                              </w:rPr>
                            </w:pPr>
                          </w:p>
                          <w:p w14:paraId="71245EEF" w14:textId="2450E1B5" w:rsidR="00BF4538" w:rsidRPr="008B181C" w:rsidRDefault="00D4541F" w:rsidP="008B181C">
                            <w:pPr>
                              <w:jc w:val="center"/>
                              <w:rPr>
                                <w:b/>
                                <w:sz w:val="36"/>
                              </w:rPr>
                            </w:pPr>
                            <w:r w:rsidRPr="008B181C">
                              <w:rPr>
                                <w:b/>
                                <w:sz w:val="36"/>
                              </w:rPr>
                              <w:t>July 2020</w:t>
                            </w:r>
                          </w:p>
                          <w:p w14:paraId="1B5ADA8E" w14:textId="77777777" w:rsidR="00BF4538" w:rsidRPr="00FB1A7B" w:rsidRDefault="00BF4538" w:rsidP="004750F4"/>
                          <w:p w14:paraId="077F4A70" w14:textId="77777777" w:rsidR="00BF4538" w:rsidRPr="00D70290" w:rsidRDefault="00BF4538" w:rsidP="004750F4"/>
                          <w:p w14:paraId="39575DCA" w14:textId="77777777" w:rsidR="00BF4538" w:rsidRDefault="00BF4538" w:rsidP="004750F4">
                            <w:r w:rsidRPr="00451ADF">
                              <w:t xml:space="preserve"> </w:t>
                            </w:r>
                          </w:p>
                          <w:p w14:paraId="67B5E393" w14:textId="77777777" w:rsidR="00BF4538" w:rsidRPr="00451ADF" w:rsidRDefault="00BF4538" w:rsidP="004750F4"/>
                          <w:p w14:paraId="47E86C66" w14:textId="77777777" w:rsidR="00BF4538" w:rsidRDefault="00BF4538" w:rsidP="00475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shapetype w14:anchorId="0F9CC99A" id="_x0000_t202" coordsize="21600,21600" o:spt="202" path="m,l,21600r21600,l21600,xe">
                <v:stroke joinstyle="miter"/>
                <v:path gradientshapeok="t" o:connecttype="rect"/>
              </v:shapetype>
              <v:shape id="Text Box 2" o:spid="_x0000_s1026" type="#_x0000_t202" style="position:absolute;margin-left:0;margin-top:0;width:428.5pt;height:453.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" fillcolor="#fc0">
                <v:textbox>
                  <w:txbxContent>
                    <w:p w14:paraId="77A52007" w14:textId="77777777" w:rsidR="00BF4538" w:rsidRPr="00FB1A7B" w:rsidRDefault="00BF4538" w:rsidP="004750F4"/>
                    <w:p w14:paraId="14CAA541" w14:textId="1296B8E2" w:rsidR="00BF4538" w:rsidRPr="008B181C" w:rsidRDefault="00643B0F" w:rsidP="008B181C">
                      <w:pPr>
                        <w:jc w:val="center"/>
                        <w:rPr>
                          <w:b/>
                          <w:sz w:val="36"/>
                        </w:rPr>
                      </w:pPr>
                      <w:r w:rsidRPr="008B181C">
                        <w:rPr>
                          <w:b/>
                          <w:sz w:val="36"/>
                        </w:rPr>
                        <w:t>Institute for Medical Imaging and Visualisation</w:t>
                      </w:r>
                    </w:p>
                    <w:p w14:paraId="3D327A11" w14:textId="77777777" w:rsidR="00BF4538" w:rsidRPr="008B181C" w:rsidRDefault="00BF4538" w:rsidP="008B181C">
                      <w:pPr>
                        <w:jc w:val="center"/>
                        <w:rPr>
                          <w:b/>
                          <w:sz w:val="36"/>
                        </w:rPr>
                      </w:pPr>
                    </w:p>
                    <w:p w14:paraId="5481B4A4" w14:textId="77777777" w:rsidR="00BF4538" w:rsidRPr="008B181C" w:rsidRDefault="00BF4538" w:rsidP="008B181C">
                      <w:pPr>
                        <w:jc w:val="center"/>
                        <w:rPr>
                          <w:b/>
                          <w:sz w:val="36"/>
                        </w:rPr>
                      </w:pPr>
                      <w:r w:rsidRPr="008B181C">
                        <w:rPr>
                          <w:b/>
                          <w:sz w:val="36"/>
                        </w:rPr>
                        <w:t>End of Project Report</w:t>
                      </w:r>
                    </w:p>
                    <w:p w14:paraId="0EFBE8F3" w14:textId="77777777" w:rsidR="00BF4538" w:rsidRPr="008B181C" w:rsidRDefault="00BF4538" w:rsidP="008B181C">
                      <w:pPr>
                        <w:jc w:val="center"/>
                        <w:rPr>
                          <w:b/>
                          <w:sz w:val="36"/>
                        </w:rPr>
                      </w:pPr>
                    </w:p>
                    <w:p w14:paraId="71245EEF" w14:textId="2450E1B5" w:rsidR="00BF4538" w:rsidRPr="008B181C" w:rsidRDefault="00D4541F" w:rsidP="008B181C">
                      <w:pPr>
                        <w:jc w:val="center"/>
                        <w:rPr>
                          <w:b/>
                          <w:sz w:val="36"/>
                        </w:rPr>
                      </w:pPr>
                      <w:r w:rsidRPr="008B181C">
                        <w:rPr>
                          <w:b/>
                          <w:sz w:val="36"/>
                        </w:rPr>
                        <w:t>July 2020</w:t>
                      </w:r>
                    </w:p>
                    <w:p w14:paraId="1B5ADA8E" w14:textId="77777777" w:rsidR="00BF4538" w:rsidRPr="00FB1A7B" w:rsidRDefault="00BF4538" w:rsidP="004750F4"/>
                    <w:p w14:paraId="077F4A70" w14:textId="77777777" w:rsidR="00BF4538" w:rsidRPr="00D70290" w:rsidRDefault="00BF4538" w:rsidP="004750F4"/>
                    <w:p w14:paraId="39575DCA" w14:textId="77777777" w:rsidR="00BF4538" w:rsidRDefault="00BF4538" w:rsidP="004750F4">
                      <w:r w:rsidRPr="00451ADF">
                        <w:t xml:space="preserve"> </w:t>
                      </w:r>
                    </w:p>
                    <w:p w14:paraId="67B5E393" w14:textId="77777777" w:rsidR="00BF4538" w:rsidRPr="00451ADF" w:rsidRDefault="00BF4538" w:rsidP="004750F4"/>
                    <w:p w14:paraId="47E86C66" w14:textId="77777777" w:rsidR="00BF4538" w:rsidRDefault="00BF4538" w:rsidP="004750F4"/>
                  </w:txbxContent>
                </v:textbox>
              </v:shape>
            </w:pict>
          </mc:Fallback>
        </mc:AlternateContent>
      </w:r>
    </w:p>
    <w:p w14:paraId="102DC996" w14:textId="77777777" w:rsidR="00CC3410" w:rsidRPr="002B337A" w:rsidRDefault="00CC3410" w:rsidP="004750F4"/>
    <w:p w14:paraId="479B3EE2" w14:textId="77777777" w:rsidR="00CC3410" w:rsidRPr="002B337A" w:rsidRDefault="00CC3410" w:rsidP="004750F4"/>
    <w:p w14:paraId="29C83134" w14:textId="77777777" w:rsidR="00CC3410" w:rsidRPr="002B337A" w:rsidRDefault="00CC3410" w:rsidP="004750F4"/>
    <w:p w14:paraId="00146E36" w14:textId="77777777" w:rsidR="00CC3410" w:rsidRPr="002B337A" w:rsidRDefault="00CC3410" w:rsidP="004750F4">
      <w:r w:rsidRPr="002B337A">
        <w:br w:type="page"/>
      </w:r>
    </w:p>
    <w:p w14:paraId="2AD4CAAF" w14:textId="77777777" w:rsidR="00EB1914" w:rsidRPr="004750F4" w:rsidRDefault="002B337A" w:rsidP="004750F4">
      <w:pPr>
        <w:pStyle w:val="Heading1"/>
      </w:pPr>
      <w:r w:rsidRPr="004750F4">
        <w:lastRenderedPageBreak/>
        <w:t>Project Summary</w:t>
      </w:r>
    </w:p>
    <w:p w14:paraId="17745CFE" w14:textId="10BD8D50" w:rsidR="004750F4" w:rsidRPr="00E44502" w:rsidRDefault="004750F4" w:rsidP="004750F4">
      <w:pPr>
        <w:pStyle w:val="Board2"/>
        <w:numPr>
          <w:ilvl w:val="0"/>
          <w:numId w:val="0"/>
        </w:numPr>
        <w:spacing w:after="0" w:line="276" w:lineRule="auto"/>
        <w:rPr>
          <w:rFonts w:ascii="Century Gothic" w:hAnsi="Century Gothic"/>
          <w:sz w:val="22"/>
          <w:szCs w:val="22"/>
        </w:rPr>
      </w:pPr>
      <w:r>
        <w:rPr>
          <w:rFonts w:ascii="Century Gothic" w:hAnsi="Century Gothic"/>
          <w:sz w:val="22"/>
          <w:szCs w:val="22"/>
        </w:rPr>
        <w:t>The</w:t>
      </w:r>
      <w:r w:rsidRPr="00E44502">
        <w:rPr>
          <w:rFonts w:ascii="Century Gothic" w:hAnsi="Century Gothic"/>
          <w:sz w:val="22"/>
          <w:szCs w:val="22"/>
        </w:rPr>
        <w:t xml:space="preserve"> Institute </w:t>
      </w:r>
      <w:r w:rsidRPr="00E44502">
        <w:rPr>
          <w:rFonts w:ascii="Century Gothic" w:hAnsi="Century Gothic"/>
          <w:sz w:val="22"/>
          <w:szCs w:val="22"/>
          <w:lang w:val="en-US"/>
        </w:rPr>
        <w:t xml:space="preserve">for Medical Imaging and </w:t>
      </w:r>
      <w:proofErr w:type="spellStart"/>
      <w:r w:rsidRPr="00E44502">
        <w:rPr>
          <w:rFonts w:ascii="Century Gothic" w:hAnsi="Century Gothic"/>
          <w:sz w:val="22"/>
          <w:szCs w:val="22"/>
          <w:lang w:val="en-US"/>
        </w:rPr>
        <w:t>Visualisation</w:t>
      </w:r>
      <w:proofErr w:type="spellEnd"/>
      <w:r w:rsidRPr="00E44502">
        <w:rPr>
          <w:rFonts w:ascii="Century Gothic" w:hAnsi="Century Gothic"/>
          <w:sz w:val="22"/>
          <w:szCs w:val="22"/>
          <w:lang w:val="en-US"/>
        </w:rPr>
        <w:t xml:space="preserve"> </w:t>
      </w:r>
      <w:r w:rsidR="004953E4">
        <w:rPr>
          <w:rFonts w:ascii="Century Gothic" w:hAnsi="Century Gothic"/>
          <w:sz w:val="22"/>
          <w:szCs w:val="22"/>
          <w:lang w:val="en-US"/>
        </w:rPr>
        <w:t xml:space="preserve">(IMIV) </w:t>
      </w:r>
      <w:r w:rsidR="008A77D1">
        <w:rPr>
          <w:rFonts w:ascii="Century Gothic" w:hAnsi="Century Gothic"/>
          <w:sz w:val="22"/>
          <w:szCs w:val="22"/>
          <w:lang w:val="en-US"/>
        </w:rPr>
        <w:t>is bringing</w:t>
      </w:r>
      <w:r w:rsidR="00C6501D">
        <w:rPr>
          <w:rFonts w:ascii="Century Gothic" w:hAnsi="Century Gothic"/>
          <w:color w:val="000000"/>
          <w:sz w:val="22"/>
          <w:szCs w:val="22"/>
          <w:lang w:val="en-US"/>
        </w:rPr>
        <w:t xml:space="preserve"> together</w:t>
      </w:r>
      <w:r w:rsidRPr="00E44502">
        <w:rPr>
          <w:rFonts w:ascii="Century Gothic" w:hAnsi="Century Gothic"/>
          <w:sz w:val="22"/>
          <w:szCs w:val="22"/>
        </w:rPr>
        <w:t xml:space="preserve"> stakeholders from research, education, </w:t>
      </w:r>
      <w:r w:rsidR="00C6501D">
        <w:rPr>
          <w:rFonts w:ascii="Century Gothic" w:hAnsi="Century Gothic"/>
          <w:sz w:val="22"/>
          <w:szCs w:val="22"/>
        </w:rPr>
        <w:t xml:space="preserve">healthcare services and systems, </w:t>
      </w:r>
      <w:r w:rsidRPr="00E44502">
        <w:rPr>
          <w:rFonts w:ascii="Century Gothic" w:hAnsi="Century Gothic"/>
          <w:sz w:val="22"/>
          <w:szCs w:val="22"/>
        </w:rPr>
        <w:t>high value medical industries,</w:t>
      </w:r>
      <w:r w:rsidR="00C6501D">
        <w:rPr>
          <w:rFonts w:ascii="Century Gothic" w:hAnsi="Century Gothic"/>
          <w:sz w:val="22"/>
          <w:szCs w:val="22"/>
        </w:rPr>
        <w:t xml:space="preserve"> and</w:t>
      </w:r>
      <w:r w:rsidRPr="00E44502">
        <w:rPr>
          <w:rFonts w:ascii="Century Gothic" w:hAnsi="Century Gothic"/>
          <w:sz w:val="22"/>
          <w:szCs w:val="22"/>
        </w:rPr>
        <w:t xml:space="preserve"> the creative industries</w:t>
      </w:r>
      <w:r w:rsidR="00C6501D">
        <w:rPr>
          <w:rFonts w:ascii="Century Gothic" w:hAnsi="Century Gothic"/>
          <w:sz w:val="22"/>
          <w:szCs w:val="22"/>
        </w:rPr>
        <w:t xml:space="preserve">. </w:t>
      </w:r>
      <w:r w:rsidR="008A77D1">
        <w:rPr>
          <w:rFonts w:ascii="Century Gothic" w:hAnsi="Century Gothic"/>
          <w:sz w:val="22"/>
          <w:szCs w:val="22"/>
        </w:rPr>
        <w:t>Once open, i</w:t>
      </w:r>
      <w:r w:rsidR="00C6501D">
        <w:rPr>
          <w:rFonts w:ascii="Century Gothic" w:hAnsi="Century Gothic"/>
          <w:sz w:val="22"/>
          <w:szCs w:val="22"/>
        </w:rPr>
        <w:t xml:space="preserve">t will host and support </w:t>
      </w:r>
      <w:r w:rsidRPr="00E44502">
        <w:rPr>
          <w:rFonts w:ascii="Century Gothic" w:hAnsi="Century Gothic"/>
          <w:sz w:val="22"/>
          <w:szCs w:val="22"/>
        </w:rPr>
        <w:t xml:space="preserve">a suite of </w:t>
      </w:r>
      <w:r w:rsidR="00B05A73">
        <w:rPr>
          <w:rFonts w:ascii="Century Gothic" w:hAnsi="Century Gothic"/>
          <w:sz w:val="22"/>
          <w:szCs w:val="22"/>
        </w:rPr>
        <w:t xml:space="preserve">educational </w:t>
      </w:r>
      <w:r w:rsidRPr="00E44502">
        <w:rPr>
          <w:rFonts w:ascii="Century Gothic" w:hAnsi="Century Gothic"/>
          <w:sz w:val="22"/>
          <w:szCs w:val="22"/>
        </w:rPr>
        <w:t>programmes, multidisciplinary research and practice. The</w:t>
      </w:r>
      <w:r w:rsidR="004953E4">
        <w:rPr>
          <w:rFonts w:ascii="Century Gothic" w:hAnsi="Century Gothic"/>
          <w:sz w:val="22"/>
          <w:szCs w:val="22"/>
        </w:rPr>
        <w:t xml:space="preserve"> IMI</w:t>
      </w:r>
      <w:r w:rsidRPr="00E44502">
        <w:rPr>
          <w:rFonts w:ascii="Century Gothic" w:hAnsi="Century Gothic"/>
          <w:sz w:val="22"/>
          <w:szCs w:val="22"/>
        </w:rPr>
        <w:t xml:space="preserve">V will </w:t>
      </w:r>
      <w:r w:rsidR="008A77D1">
        <w:rPr>
          <w:rFonts w:ascii="Century Gothic" w:hAnsi="Century Gothic"/>
          <w:sz w:val="22"/>
          <w:szCs w:val="22"/>
        </w:rPr>
        <w:t xml:space="preserve">also </w:t>
      </w:r>
      <w:r w:rsidR="00C6501D">
        <w:rPr>
          <w:rFonts w:ascii="Century Gothic" w:hAnsi="Century Gothic"/>
          <w:sz w:val="22"/>
          <w:szCs w:val="22"/>
        </w:rPr>
        <w:t xml:space="preserve">directly create, </w:t>
      </w:r>
      <w:r w:rsidRPr="00E44502">
        <w:rPr>
          <w:rFonts w:ascii="Century Gothic" w:hAnsi="Century Gothic"/>
          <w:sz w:val="22"/>
          <w:szCs w:val="22"/>
        </w:rPr>
        <w:t>and serve</w:t>
      </w:r>
      <w:r w:rsidR="00CA398A">
        <w:rPr>
          <w:rFonts w:ascii="Century Gothic" w:hAnsi="Century Gothic"/>
          <w:sz w:val="22"/>
          <w:szCs w:val="22"/>
        </w:rPr>
        <w:t>,</w:t>
      </w:r>
      <w:r w:rsidRPr="00E44502">
        <w:rPr>
          <w:rFonts w:ascii="Century Gothic" w:hAnsi="Century Gothic"/>
          <w:sz w:val="22"/>
          <w:szCs w:val="22"/>
        </w:rPr>
        <w:t xml:space="preserve"> high</w:t>
      </w:r>
      <w:r w:rsidR="00CA398A">
        <w:rPr>
          <w:rFonts w:ascii="Century Gothic" w:hAnsi="Century Gothic"/>
          <w:sz w:val="22"/>
          <w:szCs w:val="22"/>
        </w:rPr>
        <w:t>-</w:t>
      </w:r>
      <w:r w:rsidRPr="00E44502">
        <w:rPr>
          <w:rFonts w:ascii="Century Gothic" w:hAnsi="Century Gothic"/>
          <w:sz w:val="22"/>
          <w:szCs w:val="22"/>
        </w:rPr>
        <w:t xml:space="preserve">skilled technical and </w:t>
      </w:r>
      <w:r w:rsidR="00CA398A">
        <w:rPr>
          <w:rFonts w:ascii="Century Gothic" w:hAnsi="Century Gothic"/>
          <w:sz w:val="22"/>
          <w:szCs w:val="22"/>
        </w:rPr>
        <w:t>clinical</w:t>
      </w:r>
      <w:r w:rsidR="00CA398A" w:rsidRPr="00E44502">
        <w:rPr>
          <w:rFonts w:ascii="Century Gothic" w:hAnsi="Century Gothic"/>
          <w:sz w:val="22"/>
          <w:szCs w:val="22"/>
        </w:rPr>
        <w:t xml:space="preserve"> </w:t>
      </w:r>
      <w:r w:rsidRPr="00E44502">
        <w:rPr>
          <w:rFonts w:ascii="Century Gothic" w:hAnsi="Century Gothic"/>
          <w:sz w:val="22"/>
          <w:szCs w:val="22"/>
        </w:rPr>
        <w:t>roles within the region</w:t>
      </w:r>
      <w:r w:rsidR="00427C93">
        <w:rPr>
          <w:rFonts w:ascii="Century Gothic" w:hAnsi="Century Gothic"/>
          <w:sz w:val="22"/>
          <w:szCs w:val="22"/>
        </w:rPr>
        <w:t>,</w:t>
      </w:r>
      <w:r w:rsidRPr="00E44502">
        <w:rPr>
          <w:rFonts w:ascii="Century Gothic" w:hAnsi="Century Gothic"/>
          <w:sz w:val="22"/>
          <w:szCs w:val="22"/>
        </w:rPr>
        <w:t xml:space="preserve"> </w:t>
      </w:r>
      <w:r w:rsidR="00427C93">
        <w:rPr>
          <w:rFonts w:ascii="Century Gothic" w:hAnsi="Century Gothic"/>
          <w:sz w:val="22"/>
          <w:szCs w:val="22"/>
        </w:rPr>
        <w:t>and will</w:t>
      </w:r>
      <w:r w:rsidR="00427C93" w:rsidRPr="00E44502">
        <w:rPr>
          <w:rFonts w:ascii="Century Gothic" w:hAnsi="Century Gothic"/>
          <w:sz w:val="22"/>
          <w:szCs w:val="22"/>
        </w:rPr>
        <w:t xml:space="preserve"> </w:t>
      </w:r>
      <w:r w:rsidR="00427C93">
        <w:rPr>
          <w:rFonts w:ascii="Century Gothic" w:hAnsi="Century Gothic"/>
          <w:sz w:val="22"/>
          <w:szCs w:val="22"/>
        </w:rPr>
        <w:t xml:space="preserve">further </w:t>
      </w:r>
      <w:r w:rsidR="004953E4">
        <w:rPr>
          <w:rFonts w:ascii="Century Gothic" w:hAnsi="Century Gothic"/>
          <w:sz w:val="22"/>
          <w:szCs w:val="22"/>
        </w:rPr>
        <w:t xml:space="preserve">research and </w:t>
      </w:r>
      <w:r w:rsidR="00427C93">
        <w:rPr>
          <w:rFonts w:ascii="Century Gothic" w:hAnsi="Century Gothic"/>
          <w:sz w:val="22"/>
          <w:szCs w:val="22"/>
        </w:rPr>
        <w:t xml:space="preserve">generate </w:t>
      </w:r>
      <w:r w:rsidR="004953E4">
        <w:rPr>
          <w:rFonts w:ascii="Century Gothic" w:hAnsi="Century Gothic"/>
          <w:sz w:val="22"/>
          <w:szCs w:val="22"/>
        </w:rPr>
        <w:t>intellectual property</w:t>
      </w:r>
      <w:r w:rsidRPr="00E44502">
        <w:rPr>
          <w:rFonts w:ascii="Century Gothic" w:hAnsi="Century Gothic"/>
          <w:sz w:val="22"/>
          <w:szCs w:val="22"/>
        </w:rPr>
        <w:t xml:space="preserve"> in areas of particular relevance to the regional needs. </w:t>
      </w:r>
      <w:r w:rsidR="008A77D1">
        <w:rPr>
          <w:rFonts w:ascii="Century Gothic" w:hAnsi="Century Gothic"/>
          <w:sz w:val="22"/>
          <w:szCs w:val="22"/>
        </w:rPr>
        <w:t xml:space="preserve">Acting as a regional hub with global significance, the </w:t>
      </w:r>
      <w:r w:rsidRPr="00E44502">
        <w:rPr>
          <w:rFonts w:ascii="Century Gothic" w:hAnsi="Century Gothic"/>
          <w:sz w:val="22"/>
          <w:szCs w:val="22"/>
        </w:rPr>
        <w:t xml:space="preserve">eco-system </w:t>
      </w:r>
      <w:r w:rsidR="008A77D1">
        <w:rPr>
          <w:rFonts w:ascii="Century Gothic" w:hAnsi="Century Gothic"/>
          <w:sz w:val="22"/>
          <w:szCs w:val="22"/>
        </w:rPr>
        <w:t xml:space="preserve">IMIV is creating, will drive </w:t>
      </w:r>
      <w:r w:rsidRPr="00E44502">
        <w:rPr>
          <w:rFonts w:ascii="Century Gothic" w:hAnsi="Century Gothic"/>
          <w:sz w:val="22"/>
          <w:szCs w:val="22"/>
        </w:rPr>
        <w:t xml:space="preserve">commercial development of related intellectual property, in order to act as a catalyst for regional economic development related to medical science. </w:t>
      </w:r>
    </w:p>
    <w:p w14:paraId="66202EBC" w14:textId="77777777" w:rsidR="004750F4" w:rsidRPr="00E44502" w:rsidRDefault="004750F4" w:rsidP="004750F4">
      <w:pPr>
        <w:pStyle w:val="Board2"/>
        <w:numPr>
          <w:ilvl w:val="0"/>
          <w:numId w:val="0"/>
        </w:numPr>
        <w:spacing w:after="0"/>
        <w:rPr>
          <w:rFonts w:ascii="Century Gothic" w:hAnsi="Century Gothic"/>
          <w:sz w:val="22"/>
          <w:szCs w:val="22"/>
        </w:rPr>
      </w:pPr>
    </w:p>
    <w:p w14:paraId="7BADDC2A" w14:textId="7D2C3D34" w:rsidR="004750F4" w:rsidRPr="00E44502" w:rsidRDefault="004750F4" w:rsidP="004750F4">
      <w:pPr>
        <w:rPr>
          <w:rFonts w:cs="Arial"/>
        </w:rPr>
      </w:pPr>
      <w:r w:rsidRPr="00E44502">
        <w:t xml:space="preserve">The </w:t>
      </w:r>
      <w:r w:rsidR="004953E4">
        <w:t>IMI</w:t>
      </w:r>
      <w:r w:rsidRPr="00E44502">
        <w:t xml:space="preserve">V will </w:t>
      </w:r>
      <w:r w:rsidR="008A77D1">
        <w:t xml:space="preserve">also </w:t>
      </w:r>
      <w:r w:rsidRPr="00E44502">
        <w:t>address the skills gap in higher level technical provision, particularly in STEM</w:t>
      </w:r>
      <w:r w:rsidR="004953E4">
        <w:t xml:space="preserve"> areas such as radiography</w:t>
      </w:r>
      <w:r w:rsidR="001C5459">
        <w:t>.</w:t>
      </w:r>
      <w:r w:rsidR="004953E4">
        <w:t xml:space="preserve"> </w:t>
      </w:r>
      <w:r w:rsidR="001C5459">
        <w:t>This will provide regional e</w:t>
      </w:r>
      <w:r w:rsidRPr="00E44502">
        <w:t xml:space="preserve">mployers </w:t>
      </w:r>
      <w:r w:rsidR="001C5459">
        <w:t>with</w:t>
      </w:r>
      <w:r w:rsidRPr="00E44502">
        <w:t xml:space="preserve"> the </w:t>
      </w:r>
      <w:r w:rsidR="001C5459">
        <w:t xml:space="preserve">skills </w:t>
      </w:r>
      <w:r w:rsidRPr="00E44502">
        <w:t>they need</w:t>
      </w:r>
      <w:r w:rsidR="001C5459">
        <w:t xml:space="preserve">, </w:t>
      </w:r>
      <w:r w:rsidRPr="00E44502">
        <w:t>boost</w:t>
      </w:r>
      <w:r w:rsidR="001C5459">
        <w:t>ing</w:t>
      </w:r>
      <w:r w:rsidRPr="00E44502">
        <w:t xml:space="preserve"> productivity, as well as addressing social mobility by encouraging a greater take up of higher level technical education. </w:t>
      </w:r>
      <w:r w:rsidRPr="00E44502">
        <w:rPr>
          <w:rFonts w:cs="Arial"/>
        </w:rPr>
        <w:t>The I</w:t>
      </w:r>
      <w:r w:rsidR="004953E4">
        <w:rPr>
          <w:rFonts w:cs="Arial"/>
        </w:rPr>
        <w:t>MI</w:t>
      </w:r>
      <w:r w:rsidRPr="00E44502">
        <w:rPr>
          <w:rFonts w:cs="Arial"/>
        </w:rPr>
        <w:t xml:space="preserve">V will also contribute to new medical product and intellectual property developments and house the research capacity for the next wave of 3D </w:t>
      </w:r>
      <w:r w:rsidR="001C5459">
        <w:rPr>
          <w:rFonts w:cs="Arial"/>
        </w:rPr>
        <w:t>m</w:t>
      </w:r>
      <w:r w:rsidRPr="00E44502">
        <w:rPr>
          <w:rFonts w:cs="Arial"/>
        </w:rPr>
        <w:t xml:space="preserve">edical </w:t>
      </w:r>
      <w:r w:rsidR="001C5459">
        <w:rPr>
          <w:rFonts w:cs="Arial"/>
        </w:rPr>
        <w:t>i</w:t>
      </w:r>
      <w:r w:rsidRPr="00E44502">
        <w:rPr>
          <w:rFonts w:cs="Arial"/>
        </w:rPr>
        <w:t>maging development, informing the capability needs of industry, the healthcare sector and of technical education.</w:t>
      </w:r>
    </w:p>
    <w:p w14:paraId="57E43523" w14:textId="27511AB5" w:rsidR="004750F4" w:rsidRPr="00E44502" w:rsidRDefault="004953E4" w:rsidP="004750F4">
      <w:pPr>
        <w:pStyle w:val="Board2"/>
        <w:numPr>
          <w:ilvl w:val="0"/>
          <w:numId w:val="0"/>
        </w:numPr>
        <w:spacing w:after="0" w:line="276" w:lineRule="auto"/>
        <w:rPr>
          <w:rFonts w:ascii="Century Gothic" w:hAnsi="Century Gothic"/>
          <w:sz w:val="22"/>
          <w:szCs w:val="22"/>
        </w:rPr>
      </w:pPr>
      <w:r>
        <w:rPr>
          <w:rFonts w:ascii="Century Gothic" w:hAnsi="Century Gothic"/>
          <w:sz w:val="22"/>
          <w:szCs w:val="22"/>
        </w:rPr>
        <w:t>The £1</w:t>
      </w:r>
      <w:r w:rsidR="008A4CB8">
        <w:rPr>
          <w:rFonts w:ascii="Century Gothic" w:hAnsi="Century Gothic"/>
          <w:sz w:val="22"/>
          <w:szCs w:val="22"/>
        </w:rPr>
        <w:t>.</w:t>
      </w:r>
      <w:r w:rsidR="004750F4" w:rsidRPr="00E44502">
        <w:rPr>
          <w:rFonts w:ascii="Century Gothic" w:hAnsi="Century Gothic"/>
          <w:sz w:val="22"/>
          <w:szCs w:val="22"/>
        </w:rPr>
        <w:t xml:space="preserve">4m </w:t>
      </w:r>
      <w:r w:rsidR="00B51029">
        <w:rPr>
          <w:rFonts w:ascii="Century Gothic" w:hAnsi="Century Gothic"/>
          <w:sz w:val="22"/>
          <w:szCs w:val="22"/>
        </w:rPr>
        <w:t xml:space="preserve">Dorset </w:t>
      </w:r>
      <w:r w:rsidR="004750F4" w:rsidRPr="00E44502">
        <w:rPr>
          <w:rFonts w:ascii="Century Gothic" w:hAnsi="Century Gothic"/>
          <w:sz w:val="22"/>
          <w:szCs w:val="22"/>
        </w:rPr>
        <w:t xml:space="preserve">LEP funding </w:t>
      </w:r>
      <w:r>
        <w:rPr>
          <w:rFonts w:ascii="Century Gothic" w:hAnsi="Century Gothic"/>
          <w:sz w:val="22"/>
          <w:szCs w:val="22"/>
        </w:rPr>
        <w:t>has been</w:t>
      </w:r>
      <w:r w:rsidR="004750F4" w:rsidRPr="00E44502">
        <w:rPr>
          <w:rFonts w:ascii="Century Gothic" w:hAnsi="Century Gothic"/>
          <w:sz w:val="22"/>
          <w:szCs w:val="22"/>
        </w:rPr>
        <w:t xml:space="preserve"> used to fund the capital equipment needed to enable this development to commence at pace</w:t>
      </w:r>
      <w:r w:rsidR="00CA6D51">
        <w:rPr>
          <w:rFonts w:ascii="Century Gothic" w:hAnsi="Century Gothic"/>
          <w:sz w:val="22"/>
          <w:szCs w:val="22"/>
        </w:rPr>
        <w:t xml:space="preserve">, specifically </w:t>
      </w:r>
      <w:r w:rsidR="00CA6D51" w:rsidRPr="00E44502">
        <w:rPr>
          <w:rFonts w:ascii="Century Gothic" w:hAnsi="Century Gothic"/>
          <w:sz w:val="22"/>
          <w:szCs w:val="22"/>
        </w:rPr>
        <w:t xml:space="preserve">a 3T MRI </w:t>
      </w:r>
      <w:r w:rsidR="00CA6D51">
        <w:rPr>
          <w:rFonts w:ascii="Century Gothic" w:hAnsi="Century Gothic"/>
          <w:sz w:val="22"/>
          <w:szCs w:val="22"/>
        </w:rPr>
        <w:t>scanner,</w:t>
      </w:r>
      <w:r w:rsidR="00CA6D51" w:rsidRPr="00E44502">
        <w:rPr>
          <w:rFonts w:ascii="Century Gothic" w:hAnsi="Century Gothic"/>
          <w:sz w:val="22"/>
          <w:szCs w:val="22"/>
        </w:rPr>
        <w:t xml:space="preserve"> 3D/4D ultrasound equipment, </w:t>
      </w:r>
      <w:r w:rsidR="00CA6D51">
        <w:rPr>
          <w:rFonts w:ascii="Century Gothic" w:hAnsi="Century Gothic"/>
          <w:sz w:val="22"/>
          <w:szCs w:val="22"/>
        </w:rPr>
        <w:t>d</w:t>
      </w:r>
      <w:r w:rsidR="00CA6D51" w:rsidRPr="00E44502">
        <w:rPr>
          <w:rFonts w:ascii="Century Gothic" w:hAnsi="Century Gothic"/>
          <w:sz w:val="22"/>
          <w:szCs w:val="22"/>
        </w:rPr>
        <w:t>irect metal laser sintering machine and virtual reality equipment to help develop the next generation of clinical imaging and related diagnostic tools.</w:t>
      </w:r>
      <w:r w:rsidR="00CA6D51">
        <w:rPr>
          <w:rFonts w:ascii="Century Gothic" w:hAnsi="Century Gothic"/>
          <w:sz w:val="22"/>
          <w:szCs w:val="22"/>
        </w:rPr>
        <w:t xml:space="preserve"> </w:t>
      </w:r>
      <w:r w:rsidR="004750F4" w:rsidRPr="00E44502">
        <w:rPr>
          <w:rFonts w:ascii="Century Gothic" w:hAnsi="Century Gothic"/>
          <w:sz w:val="22"/>
          <w:szCs w:val="22"/>
        </w:rPr>
        <w:t>State</w:t>
      </w:r>
      <w:r w:rsidR="00CA6D51">
        <w:rPr>
          <w:rFonts w:ascii="Century Gothic" w:hAnsi="Century Gothic"/>
          <w:sz w:val="22"/>
          <w:szCs w:val="22"/>
        </w:rPr>
        <w:t>-</w:t>
      </w:r>
      <w:r w:rsidR="004750F4" w:rsidRPr="00E44502">
        <w:rPr>
          <w:rFonts w:ascii="Century Gothic" w:hAnsi="Century Gothic"/>
          <w:sz w:val="22"/>
          <w:szCs w:val="22"/>
        </w:rPr>
        <w:t>of</w:t>
      </w:r>
      <w:r w:rsidR="00CA6D51">
        <w:rPr>
          <w:rFonts w:ascii="Century Gothic" w:hAnsi="Century Gothic"/>
          <w:sz w:val="22"/>
          <w:szCs w:val="22"/>
        </w:rPr>
        <w:t>-</w:t>
      </w:r>
      <w:r w:rsidR="004750F4" w:rsidRPr="00E44502">
        <w:rPr>
          <w:rFonts w:ascii="Century Gothic" w:hAnsi="Century Gothic"/>
          <w:sz w:val="22"/>
          <w:szCs w:val="22"/>
        </w:rPr>
        <w:t>the</w:t>
      </w:r>
      <w:r w:rsidR="00CA6D51">
        <w:rPr>
          <w:rFonts w:ascii="Century Gothic" w:hAnsi="Century Gothic"/>
          <w:sz w:val="22"/>
          <w:szCs w:val="22"/>
        </w:rPr>
        <w:t>-</w:t>
      </w:r>
      <w:r w:rsidR="004750F4" w:rsidRPr="00E44502">
        <w:rPr>
          <w:rFonts w:ascii="Century Gothic" w:hAnsi="Century Gothic"/>
          <w:sz w:val="22"/>
          <w:szCs w:val="22"/>
        </w:rPr>
        <w:t>art clinical data analytics techniques will be used, utilising existing in-house expertise, and developed collaboratively with local industry through investment in equipment</w:t>
      </w:r>
      <w:r w:rsidR="00CA6D51">
        <w:rPr>
          <w:rFonts w:ascii="Century Gothic" w:hAnsi="Century Gothic"/>
          <w:sz w:val="22"/>
          <w:szCs w:val="22"/>
        </w:rPr>
        <w:t xml:space="preserve">. </w:t>
      </w:r>
      <w:r w:rsidR="004750F4" w:rsidRPr="00E44502">
        <w:rPr>
          <w:rFonts w:ascii="Century Gothic" w:hAnsi="Century Gothic"/>
          <w:sz w:val="22"/>
          <w:szCs w:val="22"/>
        </w:rPr>
        <w:t>This will support the development of specialist skills within the region to support the innovation aspirations of the Dorset Clinical Commissioning Group and to secure expertise within the region in a post-</w:t>
      </w:r>
      <w:proofErr w:type="spellStart"/>
      <w:r w:rsidR="004750F4" w:rsidRPr="00E44502">
        <w:rPr>
          <w:rFonts w:ascii="Century Gothic" w:hAnsi="Century Gothic"/>
          <w:sz w:val="22"/>
          <w:szCs w:val="22"/>
        </w:rPr>
        <w:t>Brexit</w:t>
      </w:r>
      <w:proofErr w:type="spellEnd"/>
      <w:r w:rsidR="004750F4" w:rsidRPr="00E44502">
        <w:rPr>
          <w:rFonts w:ascii="Century Gothic" w:hAnsi="Century Gothic"/>
          <w:sz w:val="22"/>
          <w:szCs w:val="22"/>
        </w:rPr>
        <w:t xml:space="preserve"> era. </w:t>
      </w:r>
    </w:p>
    <w:p w14:paraId="516E6CE4" w14:textId="77777777" w:rsidR="004750F4" w:rsidRDefault="004750F4" w:rsidP="004750F4"/>
    <w:p w14:paraId="00C8A035" w14:textId="2A5B4A7D" w:rsidR="004750F4" w:rsidRPr="004750F4" w:rsidRDefault="004953E4" w:rsidP="004750F4">
      <w:r>
        <w:t xml:space="preserve">At the time of writing this report the capital purchases as a whole </w:t>
      </w:r>
      <w:r w:rsidR="00CA6D51">
        <w:t xml:space="preserve">have </w:t>
      </w:r>
      <w:r>
        <w:t>been completed</w:t>
      </w:r>
      <w:r w:rsidR="00375EEE">
        <w:t xml:space="preserve">, which </w:t>
      </w:r>
      <w:r>
        <w:t>technically conclud</w:t>
      </w:r>
      <w:r w:rsidR="00375EEE">
        <w:t>es</w:t>
      </w:r>
      <w:r>
        <w:t xml:space="preserve"> the project from a D</w:t>
      </w:r>
      <w:r w:rsidR="00B51029">
        <w:t xml:space="preserve">orset </w:t>
      </w:r>
      <w:r>
        <w:t>LEP perspective</w:t>
      </w:r>
      <w:r w:rsidR="00375EEE">
        <w:t>. However, the equipment purchased and the accompanying research and educational programme is a long</w:t>
      </w:r>
      <w:r w:rsidR="0084049B">
        <w:t>-</w:t>
      </w:r>
      <w:r w:rsidR="00375EEE">
        <w:t xml:space="preserve">term investment in healthcare research and innovation, which will take time to realise its full impact.  The </w:t>
      </w:r>
      <w:r>
        <w:t xml:space="preserve">project as a whole has been severely impacted by the outbreak of COVID-19. The completion of the </w:t>
      </w:r>
      <w:r w:rsidR="008F4D5A">
        <w:t>new B</w:t>
      </w:r>
      <w:r w:rsidR="00B51029">
        <w:t>ournemouth University</w:t>
      </w:r>
      <w:r w:rsidR="008F4D5A">
        <w:t xml:space="preserve"> </w:t>
      </w:r>
      <w:r w:rsidR="004F5E44">
        <w:t xml:space="preserve">(BU) </w:t>
      </w:r>
      <w:r>
        <w:t>building in which IMIV is housed (Bournemouth Gateway Building)</w:t>
      </w:r>
      <w:r w:rsidR="008F4D5A">
        <w:t>, has been delayed by approximately 6 months.</w:t>
      </w:r>
      <w:r>
        <w:t xml:space="preserve"> </w:t>
      </w:r>
      <w:r w:rsidR="008F4D5A">
        <w:t xml:space="preserve">It has also delayed operationalisation of the equipment. </w:t>
      </w:r>
      <w:r>
        <w:t>That said, with a view to formally opening in January 2021</w:t>
      </w:r>
      <w:r w:rsidR="0073792F">
        <w:rPr>
          <w:rStyle w:val="FootnoteReference"/>
        </w:rPr>
        <w:footnoteReference w:id="1"/>
      </w:r>
      <w:r>
        <w:t>, funding from DLEP has enabled the creation of a world-</w:t>
      </w:r>
      <w:r>
        <w:lastRenderedPageBreak/>
        <w:t xml:space="preserve">class team of scientists/specialists within Dorset and a transformation programme </w:t>
      </w:r>
      <w:r w:rsidR="008A4CB8">
        <w:t>that is in</w:t>
      </w:r>
      <w:r>
        <w:t xml:space="preserve"> train to </w:t>
      </w:r>
      <w:r w:rsidR="0073792F">
        <w:t xml:space="preserve">deliver on the ambitions articulated above. </w:t>
      </w:r>
    </w:p>
    <w:p w14:paraId="2EC24569" w14:textId="5E878B68" w:rsidR="00DF07DD" w:rsidRPr="002B337A" w:rsidRDefault="00DF07DD" w:rsidP="004750F4">
      <w:pPr>
        <w:pStyle w:val="Heading1"/>
      </w:pPr>
      <w:r w:rsidRPr="002B337A">
        <w:t>Change Request</w:t>
      </w:r>
    </w:p>
    <w:p w14:paraId="6DEDA8DB" w14:textId="718BE9EC" w:rsidR="002B337A" w:rsidRPr="009E7CFD" w:rsidRDefault="009E7CFD" w:rsidP="004750F4">
      <w:pPr>
        <w:pStyle w:val="ListParagraph"/>
        <w:ind w:left="0"/>
      </w:pPr>
      <w:r w:rsidRPr="009E7CFD">
        <w:t>The Project Team submitted a C</w:t>
      </w:r>
      <w:r w:rsidRPr="004750F4">
        <w:t>hange Request on 19th March 2019</w:t>
      </w:r>
      <w:r w:rsidR="002C34EB">
        <w:t>,</w:t>
      </w:r>
      <w:r w:rsidRPr="004750F4">
        <w:t xml:space="preserve"> requesting a </w:t>
      </w:r>
      <w:r w:rsidR="00AE7C91" w:rsidRPr="004750F4">
        <w:t>three-month</w:t>
      </w:r>
      <w:r w:rsidRPr="004750F4">
        <w:t xml:space="preserve"> extension to the project</w:t>
      </w:r>
      <w:r w:rsidRPr="009E7CFD">
        <w:t xml:space="preserve"> duration. </w:t>
      </w:r>
      <w:r>
        <w:t>The extension to 30</w:t>
      </w:r>
      <w:r w:rsidRPr="009E7CFD">
        <w:rPr>
          <w:vertAlign w:val="superscript"/>
        </w:rPr>
        <w:t>th</w:t>
      </w:r>
      <w:r>
        <w:t xml:space="preserve"> June 2019 </w:t>
      </w:r>
      <w:r w:rsidR="004750F4">
        <w:t>enabled the procurement to be MRI appropriately phased with the overarching development of the Bournemouth Gateway Building</w:t>
      </w:r>
      <w:r w:rsidR="004F5E44">
        <w:t xml:space="preserve"> (BGB)</w:t>
      </w:r>
      <w:r w:rsidR="004750F4">
        <w:t xml:space="preserve">, where it </w:t>
      </w:r>
      <w:r w:rsidR="002C34EB">
        <w:t>will be</w:t>
      </w:r>
      <w:r w:rsidR="004750F4">
        <w:t xml:space="preserve"> sited. Furthermore, the extension </w:t>
      </w:r>
      <w:r w:rsidR="00D83180">
        <w:t xml:space="preserve">allowed </w:t>
      </w:r>
      <w:r w:rsidR="004750F4">
        <w:t xml:space="preserve">a more detailed options appraisal to secure the most effective tool to enable delivery of the project. </w:t>
      </w:r>
    </w:p>
    <w:p w14:paraId="5173BFFC" w14:textId="5DC76FCB" w:rsidR="00245C42" w:rsidRDefault="00245C42" w:rsidP="004750F4">
      <w:pPr>
        <w:pStyle w:val="Heading1"/>
      </w:pPr>
      <w:r w:rsidRPr="002B337A">
        <w:t>Outputs</w:t>
      </w:r>
      <w:r w:rsidR="00321504" w:rsidRPr="002B337A">
        <w:t xml:space="preserve"> and Outcomes</w:t>
      </w:r>
      <w:r w:rsidR="001D76CA">
        <w:t>:</w:t>
      </w:r>
    </w:p>
    <w:p w14:paraId="1FEAB2B0" w14:textId="29C9BD50" w:rsidR="009E7CFD" w:rsidRDefault="009E7CFD" w:rsidP="004750F4">
      <w:r w:rsidRPr="009E7CFD">
        <w:t xml:space="preserve">The following items of capital equipment were purchased with the funding: </w:t>
      </w:r>
    </w:p>
    <w:p w14:paraId="5763976C" w14:textId="4BC16BA8" w:rsidR="009E7CFD" w:rsidRDefault="009E7CFD" w:rsidP="004750F4">
      <w:pPr>
        <w:pStyle w:val="ListParagraph"/>
        <w:numPr>
          <w:ilvl w:val="0"/>
          <w:numId w:val="39"/>
        </w:numPr>
      </w:pPr>
      <w:r>
        <w:t xml:space="preserve">VR Equipment </w:t>
      </w:r>
      <w:r>
        <w:tab/>
      </w:r>
    </w:p>
    <w:p w14:paraId="1D084E2F" w14:textId="0E46FAF5" w:rsidR="009E7CFD" w:rsidRDefault="009E7CFD" w:rsidP="004750F4">
      <w:pPr>
        <w:pStyle w:val="ListParagraph"/>
        <w:numPr>
          <w:ilvl w:val="0"/>
          <w:numId w:val="39"/>
        </w:numPr>
      </w:pPr>
      <w:r>
        <w:t xml:space="preserve">3D Printer </w:t>
      </w:r>
      <w:r>
        <w:tab/>
      </w:r>
      <w:r>
        <w:tab/>
      </w:r>
    </w:p>
    <w:p w14:paraId="7ED3D46F" w14:textId="3E221A3A" w:rsidR="009E7CFD" w:rsidRDefault="009E7CFD" w:rsidP="004750F4">
      <w:pPr>
        <w:pStyle w:val="ListParagraph"/>
        <w:numPr>
          <w:ilvl w:val="0"/>
          <w:numId w:val="39"/>
        </w:numPr>
      </w:pPr>
      <w:r>
        <w:t>Sintering Machine</w:t>
      </w:r>
      <w:r>
        <w:tab/>
      </w:r>
    </w:p>
    <w:p w14:paraId="5678597B" w14:textId="166750EF" w:rsidR="009E7CFD" w:rsidRDefault="009E7CFD" w:rsidP="004750F4">
      <w:pPr>
        <w:pStyle w:val="ListParagraph"/>
        <w:numPr>
          <w:ilvl w:val="0"/>
          <w:numId w:val="39"/>
        </w:numPr>
      </w:pPr>
      <w:r>
        <w:t>Ultrasound scanner</w:t>
      </w:r>
      <w:r>
        <w:tab/>
        <w:t xml:space="preserve"> </w:t>
      </w:r>
    </w:p>
    <w:p w14:paraId="2E6B35C3" w14:textId="625D8528" w:rsidR="0073792F" w:rsidRDefault="009E7CFD" w:rsidP="004750F4">
      <w:pPr>
        <w:pStyle w:val="ListParagraph"/>
        <w:numPr>
          <w:ilvl w:val="0"/>
          <w:numId w:val="39"/>
        </w:numPr>
      </w:pPr>
      <w:r>
        <w:t>MRI Scanner</w:t>
      </w:r>
      <w:r>
        <w:tab/>
      </w:r>
      <w:r>
        <w:tab/>
      </w:r>
    </w:p>
    <w:p w14:paraId="0D01BF02" w14:textId="0F7BEC25" w:rsidR="008B181C" w:rsidRDefault="008B181C" w:rsidP="008B181C">
      <w:r>
        <w:rPr>
          <w:noProof/>
          <w:lang w:eastAsia="en-GB"/>
        </w:rPr>
        <w:drawing>
          <wp:anchor distT="0" distB="0" distL="114300" distR="114300" simplePos="0" relativeHeight="251667456" behindDoc="0" locked="0" layoutInCell="1" allowOverlap="1" wp14:anchorId="79DF16E1" wp14:editId="0C885A4E">
            <wp:simplePos x="0" y="0"/>
            <wp:positionH relativeFrom="column">
              <wp:posOffset>0</wp:posOffset>
            </wp:positionH>
            <wp:positionV relativeFrom="paragraph">
              <wp:posOffset>901065</wp:posOffset>
            </wp:positionV>
            <wp:extent cx="1998345" cy="2667000"/>
            <wp:effectExtent l="0" t="0" r="1905" b="0"/>
            <wp:wrapTopAndBottom/>
            <wp:docPr id="6" name="Picture 6" descr="\\bournemouth.ac.uk\data\Staff\Home\redwards\Downloads\IMG_20200721_14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rnemouth.ac.uk\data\Staff\Home\redwards\Downloads\IMG_20200721_1459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92F">
        <w:t xml:space="preserve">Detailed below are images of the MRI scanner being installed and the Sintering Machine in situ. </w:t>
      </w:r>
      <w:r w:rsidRPr="000B5CC5">
        <w:t>The dedicated lab for the Sintering Machine is complete and the Sintering Machine has been delivered. Once the COVI</w:t>
      </w:r>
      <w:r>
        <w:t xml:space="preserve">D-19 pandemic allows, all equipment </w:t>
      </w:r>
      <w:r w:rsidRPr="000B5CC5">
        <w:t xml:space="preserve">will be installed and </w:t>
      </w:r>
      <w:r w:rsidR="000B2240">
        <w:t xml:space="preserve">be </w:t>
      </w:r>
      <w:r w:rsidRPr="000B5CC5">
        <w:t>operational.</w:t>
      </w:r>
    </w:p>
    <w:p w14:paraId="7BD1E4B1" w14:textId="2F0A57B9" w:rsidR="0073792F" w:rsidRDefault="008B181C" w:rsidP="004750F4">
      <w:r>
        <w:rPr>
          <w:noProof/>
          <w:lang w:eastAsia="en-GB"/>
        </w:rPr>
        <w:drawing>
          <wp:anchor distT="0" distB="0" distL="114300" distR="114300" simplePos="0" relativeHeight="251669504" behindDoc="0" locked="0" layoutInCell="1" allowOverlap="1" wp14:anchorId="6D1817A1" wp14:editId="6416F728">
            <wp:simplePos x="0" y="0"/>
            <wp:positionH relativeFrom="column">
              <wp:posOffset>2125980</wp:posOffset>
            </wp:positionH>
            <wp:positionV relativeFrom="paragraph">
              <wp:posOffset>149225</wp:posOffset>
            </wp:positionV>
            <wp:extent cx="1998345" cy="2667000"/>
            <wp:effectExtent l="0" t="0" r="1905" b="0"/>
            <wp:wrapSquare wrapText="bothSides"/>
            <wp:docPr id="7" name="Picture 7" descr="\\bournemouth.ac.uk\data\Staff\Home\redwards\Downloads\IMG_20200721_14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rnemouth.ac.uk\data\Staff\Home\redwards\Downloads\IMG_20200721_1459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34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F5CC0" w14:textId="29947A0D" w:rsidR="0073792F" w:rsidRDefault="0073792F" w:rsidP="004750F4"/>
    <w:p w14:paraId="1FD614BC" w14:textId="7A3E39E3" w:rsidR="0073792F" w:rsidRDefault="0073792F" w:rsidP="004750F4"/>
    <w:p w14:paraId="1E5400C8" w14:textId="196D625D" w:rsidR="0073792F" w:rsidRDefault="0073792F" w:rsidP="004750F4"/>
    <w:p w14:paraId="17AEA817" w14:textId="77777777" w:rsidR="0073792F" w:rsidRDefault="0073792F" w:rsidP="004750F4"/>
    <w:p w14:paraId="6CA3A665" w14:textId="686FC276" w:rsidR="008E6DBC" w:rsidRDefault="0073792F" w:rsidP="004750F4">
      <w:r>
        <w:rPr>
          <w:noProof/>
          <w:lang w:eastAsia="en-GB"/>
        </w:rPr>
        <w:lastRenderedPageBreak/>
        <w:drawing>
          <wp:anchor distT="0" distB="0" distL="114300" distR="114300" simplePos="0" relativeHeight="251666432" behindDoc="0" locked="0" layoutInCell="1" allowOverlap="1" wp14:anchorId="769ABB2B" wp14:editId="6C856544">
            <wp:simplePos x="0" y="0"/>
            <wp:positionH relativeFrom="column">
              <wp:posOffset>1862455</wp:posOffset>
            </wp:positionH>
            <wp:positionV relativeFrom="paragraph">
              <wp:posOffset>370840</wp:posOffset>
            </wp:positionV>
            <wp:extent cx="2965450" cy="2224405"/>
            <wp:effectExtent l="8572" t="0" r="0" b="0"/>
            <wp:wrapSquare wrapText="bothSides"/>
            <wp:docPr id="4" name="Picture 4" descr="\\bournemouth.ac.uk\data\Staff\Home\redwards\Downloads\IMG_226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rnemouth.ac.uk\data\Staff\Home\redwards\Downloads\IMG_2267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96545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D5270" w14:textId="39F18318" w:rsidR="00D4541F" w:rsidRPr="000A609C" w:rsidRDefault="0073792F" w:rsidP="000A609C">
      <w:pPr>
        <w:rPr>
          <w:b/>
          <w:u w:val="single"/>
        </w:rPr>
      </w:pPr>
      <w:r>
        <w:rPr>
          <w:noProof/>
          <w:lang w:eastAsia="en-GB"/>
        </w:rPr>
        <w:drawing>
          <wp:anchor distT="0" distB="0" distL="114300" distR="114300" simplePos="0" relativeHeight="251665408" behindDoc="0" locked="0" layoutInCell="1" allowOverlap="1" wp14:anchorId="2524899A" wp14:editId="15E79C88">
            <wp:simplePos x="0" y="0"/>
            <wp:positionH relativeFrom="column">
              <wp:posOffset>-365760</wp:posOffset>
            </wp:positionH>
            <wp:positionV relativeFrom="paragraph">
              <wp:posOffset>172720</wp:posOffset>
            </wp:positionV>
            <wp:extent cx="2957830" cy="2218690"/>
            <wp:effectExtent l="7620" t="0" r="2540" b="2540"/>
            <wp:wrapTopAndBottom/>
            <wp:docPr id="3" name="Picture 3" descr="\\bournemouth.ac.uk\data\Staff\Home\redwards\Downloads\IMG_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ac.uk\data\Staff\Home\redwards\Downloads\IMG_22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95783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09C">
        <w:t xml:space="preserve">The intended outcomes of the project are as follows: </w:t>
      </w:r>
    </w:p>
    <w:tbl>
      <w:tblPr>
        <w:tblStyle w:val="TableGrid4"/>
        <w:tblW w:w="8506" w:type="dxa"/>
        <w:tblInd w:w="-289" w:type="dxa"/>
        <w:tblLayout w:type="fixed"/>
        <w:tblLook w:val="04A0" w:firstRow="1" w:lastRow="0" w:firstColumn="1" w:lastColumn="0" w:noHBand="0" w:noVBand="1"/>
      </w:tblPr>
      <w:tblGrid>
        <w:gridCol w:w="2949"/>
        <w:gridCol w:w="1021"/>
        <w:gridCol w:w="850"/>
        <w:gridCol w:w="851"/>
        <w:gridCol w:w="850"/>
        <w:gridCol w:w="851"/>
        <w:gridCol w:w="1134"/>
      </w:tblGrid>
      <w:tr w:rsidR="00D4541F" w14:paraId="1EDC6E83" w14:textId="77777777" w:rsidTr="00933839">
        <w:tc>
          <w:tcPr>
            <w:tcW w:w="2949" w:type="dxa"/>
            <w:vMerge w:val="restart"/>
            <w:vAlign w:val="center"/>
          </w:tcPr>
          <w:p w14:paraId="6DBAC898" w14:textId="77777777" w:rsidR="00D4541F" w:rsidRPr="000A609C" w:rsidRDefault="00D4541F" w:rsidP="004750F4">
            <w:pPr>
              <w:rPr>
                <w:sz w:val="18"/>
                <w:szCs w:val="18"/>
              </w:rPr>
            </w:pPr>
            <w:r w:rsidRPr="000A609C">
              <w:rPr>
                <w:sz w:val="18"/>
                <w:szCs w:val="18"/>
              </w:rPr>
              <w:t>INDICATORS</w:t>
            </w:r>
          </w:p>
          <w:p w14:paraId="31AE6216" w14:textId="77777777" w:rsidR="00D4541F" w:rsidRPr="000A609C" w:rsidRDefault="00D4541F" w:rsidP="004750F4">
            <w:pPr>
              <w:rPr>
                <w:sz w:val="18"/>
                <w:szCs w:val="18"/>
              </w:rPr>
            </w:pPr>
          </w:p>
        </w:tc>
        <w:tc>
          <w:tcPr>
            <w:tcW w:w="5557" w:type="dxa"/>
            <w:gridSpan w:val="6"/>
          </w:tcPr>
          <w:p w14:paraId="09F5AB01" w14:textId="77777777" w:rsidR="00D4541F" w:rsidRPr="000A609C" w:rsidRDefault="00D4541F" w:rsidP="004750F4">
            <w:pPr>
              <w:rPr>
                <w:sz w:val="18"/>
                <w:szCs w:val="18"/>
              </w:rPr>
            </w:pPr>
            <w:r w:rsidRPr="000A609C">
              <w:rPr>
                <w:sz w:val="18"/>
                <w:szCs w:val="18"/>
              </w:rPr>
              <w:t>OUTCOMES FORECAST</w:t>
            </w:r>
          </w:p>
          <w:p w14:paraId="30AE0401" w14:textId="77777777" w:rsidR="00D4541F" w:rsidRPr="000A609C" w:rsidRDefault="00D4541F" w:rsidP="004750F4">
            <w:pPr>
              <w:rPr>
                <w:sz w:val="18"/>
                <w:szCs w:val="18"/>
              </w:rPr>
            </w:pPr>
          </w:p>
        </w:tc>
      </w:tr>
      <w:tr w:rsidR="00933839" w14:paraId="61181941" w14:textId="77777777" w:rsidTr="00933839">
        <w:tc>
          <w:tcPr>
            <w:tcW w:w="2949" w:type="dxa"/>
            <w:vMerge/>
          </w:tcPr>
          <w:p w14:paraId="09884A65" w14:textId="77777777" w:rsidR="00933839" w:rsidRPr="000A609C" w:rsidRDefault="00933839" w:rsidP="004750F4">
            <w:pPr>
              <w:rPr>
                <w:sz w:val="18"/>
                <w:szCs w:val="18"/>
              </w:rPr>
            </w:pPr>
          </w:p>
        </w:tc>
        <w:tc>
          <w:tcPr>
            <w:tcW w:w="1021" w:type="dxa"/>
            <w:shd w:val="clear" w:color="auto" w:fill="auto"/>
          </w:tcPr>
          <w:p w14:paraId="67785134" w14:textId="77777777" w:rsidR="00933839" w:rsidRPr="00933839" w:rsidRDefault="00933839" w:rsidP="00933839">
            <w:pPr>
              <w:jc w:val="center"/>
              <w:rPr>
                <w:sz w:val="18"/>
                <w:szCs w:val="18"/>
              </w:rPr>
            </w:pPr>
            <w:r w:rsidRPr="00933839">
              <w:rPr>
                <w:sz w:val="18"/>
                <w:szCs w:val="18"/>
              </w:rPr>
              <w:t>FY</w:t>
            </w:r>
          </w:p>
          <w:p w14:paraId="0DD0291C" w14:textId="77777777" w:rsidR="00933839" w:rsidRPr="00933839" w:rsidRDefault="00933839" w:rsidP="00933839">
            <w:pPr>
              <w:jc w:val="center"/>
              <w:rPr>
                <w:sz w:val="18"/>
                <w:szCs w:val="18"/>
              </w:rPr>
            </w:pPr>
            <w:r w:rsidRPr="00933839">
              <w:rPr>
                <w:sz w:val="18"/>
                <w:szCs w:val="18"/>
              </w:rPr>
              <w:t>20/21</w:t>
            </w:r>
          </w:p>
        </w:tc>
        <w:tc>
          <w:tcPr>
            <w:tcW w:w="850" w:type="dxa"/>
          </w:tcPr>
          <w:p w14:paraId="05C5DC42" w14:textId="77777777" w:rsidR="00933839" w:rsidRPr="000A609C" w:rsidRDefault="00933839" w:rsidP="00933839">
            <w:pPr>
              <w:jc w:val="center"/>
              <w:rPr>
                <w:sz w:val="18"/>
                <w:szCs w:val="18"/>
              </w:rPr>
            </w:pPr>
            <w:r w:rsidRPr="000A609C">
              <w:rPr>
                <w:sz w:val="18"/>
                <w:szCs w:val="18"/>
              </w:rPr>
              <w:t>FY</w:t>
            </w:r>
          </w:p>
          <w:p w14:paraId="129F9597" w14:textId="77777777" w:rsidR="00933839" w:rsidRPr="000A609C" w:rsidRDefault="00933839" w:rsidP="00933839">
            <w:pPr>
              <w:jc w:val="center"/>
              <w:rPr>
                <w:sz w:val="18"/>
                <w:szCs w:val="18"/>
              </w:rPr>
            </w:pPr>
            <w:r w:rsidRPr="000A609C">
              <w:rPr>
                <w:sz w:val="18"/>
                <w:szCs w:val="18"/>
              </w:rPr>
              <w:t>21/22</w:t>
            </w:r>
          </w:p>
        </w:tc>
        <w:tc>
          <w:tcPr>
            <w:tcW w:w="851" w:type="dxa"/>
          </w:tcPr>
          <w:p w14:paraId="0F3A6B85" w14:textId="77777777" w:rsidR="00933839" w:rsidRPr="000A609C" w:rsidRDefault="00933839" w:rsidP="00933839">
            <w:pPr>
              <w:jc w:val="center"/>
              <w:rPr>
                <w:sz w:val="18"/>
                <w:szCs w:val="18"/>
              </w:rPr>
            </w:pPr>
            <w:r w:rsidRPr="000A609C">
              <w:rPr>
                <w:sz w:val="18"/>
                <w:szCs w:val="18"/>
              </w:rPr>
              <w:t>FY</w:t>
            </w:r>
          </w:p>
          <w:p w14:paraId="4F3B807E" w14:textId="77777777" w:rsidR="00933839" w:rsidRPr="000A609C" w:rsidRDefault="00933839" w:rsidP="00933839">
            <w:pPr>
              <w:jc w:val="center"/>
              <w:rPr>
                <w:sz w:val="18"/>
                <w:szCs w:val="18"/>
              </w:rPr>
            </w:pPr>
            <w:r w:rsidRPr="000A609C">
              <w:rPr>
                <w:sz w:val="18"/>
                <w:szCs w:val="18"/>
              </w:rPr>
              <w:t>22/23</w:t>
            </w:r>
          </w:p>
        </w:tc>
        <w:tc>
          <w:tcPr>
            <w:tcW w:w="850" w:type="dxa"/>
          </w:tcPr>
          <w:p w14:paraId="38BD3DF0" w14:textId="77777777" w:rsidR="00933839" w:rsidRPr="000A609C" w:rsidRDefault="00933839" w:rsidP="00933839">
            <w:pPr>
              <w:jc w:val="center"/>
              <w:rPr>
                <w:sz w:val="18"/>
                <w:szCs w:val="18"/>
              </w:rPr>
            </w:pPr>
            <w:r w:rsidRPr="000A609C">
              <w:rPr>
                <w:sz w:val="18"/>
                <w:szCs w:val="18"/>
              </w:rPr>
              <w:t>FY</w:t>
            </w:r>
          </w:p>
          <w:p w14:paraId="4EFDE3B3" w14:textId="77777777" w:rsidR="00933839" w:rsidRPr="000A609C" w:rsidRDefault="00933839" w:rsidP="00933839">
            <w:pPr>
              <w:jc w:val="center"/>
              <w:rPr>
                <w:sz w:val="18"/>
                <w:szCs w:val="18"/>
              </w:rPr>
            </w:pPr>
            <w:r w:rsidRPr="000A609C">
              <w:rPr>
                <w:sz w:val="18"/>
                <w:szCs w:val="18"/>
              </w:rPr>
              <w:t>23/24</w:t>
            </w:r>
          </w:p>
        </w:tc>
        <w:tc>
          <w:tcPr>
            <w:tcW w:w="851" w:type="dxa"/>
          </w:tcPr>
          <w:p w14:paraId="7D1516C0" w14:textId="77777777" w:rsidR="00933839" w:rsidRPr="000A609C" w:rsidRDefault="00933839" w:rsidP="00933839">
            <w:pPr>
              <w:jc w:val="center"/>
              <w:rPr>
                <w:sz w:val="18"/>
                <w:szCs w:val="18"/>
              </w:rPr>
            </w:pPr>
            <w:r w:rsidRPr="000A609C">
              <w:rPr>
                <w:sz w:val="18"/>
                <w:szCs w:val="18"/>
              </w:rPr>
              <w:t>FY</w:t>
            </w:r>
          </w:p>
          <w:p w14:paraId="2D16C3F4" w14:textId="77777777" w:rsidR="00933839" w:rsidRPr="000A609C" w:rsidRDefault="00933839" w:rsidP="00933839">
            <w:pPr>
              <w:jc w:val="center"/>
              <w:rPr>
                <w:sz w:val="18"/>
                <w:szCs w:val="18"/>
              </w:rPr>
            </w:pPr>
            <w:r w:rsidRPr="000A609C">
              <w:rPr>
                <w:sz w:val="18"/>
                <w:szCs w:val="18"/>
              </w:rPr>
              <w:t>24/25</w:t>
            </w:r>
          </w:p>
        </w:tc>
        <w:tc>
          <w:tcPr>
            <w:tcW w:w="1134" w:type="dxa"/>
          </w:tcPr>
          <w:p w14:paraId="026E6B54" w14:textId="67E5278B" w:rsidR="00933839" w:rsidRPr="000A609C" w:rsidRDefault="00933839" w:rsidP="00933839">
            <w:pPr>
              <w:jc w:val="center"/>
              <w:rPr>
                <w:sz w:val="18"/>
                <w:szCs w:val="18"/>
              </w:rPr>
            </w:pPr>
            <w:r w:rsidRPr="000A609C">
              <w:rPr>
                <w:sz w:val="18"/>
                <w:szCs w:val="18"/>
              </w:rPr>
              <w:t>TOTAL</w:t>
            </w:r>
          </w:p>
        </w:tc>
      </w:tr>
      <w:tr w:rsidR="00933839" w14:paraId="53AE33E7" w14:textId="77777777" w:rsidTr="00933839">
        <w:tc>
          <w:tcPr>
            <w:tcW w:w="2949" w:type="dxa"/>
          </w:tcPr>
          <w:p w14:paraId="748DC51A" w14:textId="77777777" w:rsidR="00933839" w:rsidRPr="000A609C" w:rsidRDefault="00933839" w:rsidP="004750F4">
            <w:pPr>
              <w:rPr>
                <w:sz w:val="18"/>
                <w:szCs w:val="18"/>
              </w:rPr>
            </w:pPr>
            <w:r w:rsidRPr="000A609C">
              <w:rPr>
                <w:sz w:val="18"/>
                <w:szCs w:val="18"/>
              </w:rPr>
              <w:t xml:space="preserve">Direct jobs </w:t>
            </w:r>
          </w:p>
          <w:p w14:paraId="7DCF7C44" w14:textId="77777777" w:rsidR="00933839" w:rsidRPr="000A609C" w:rsidRDefault="00933839" w:rsidP="004750F4">
            <w:pPr>
              <w:rPr>
                <w:sz w:val="18"/>
                <w:szCs w:val="18"/>
              </w:rPr>
            </w:pPr>
          </w:p>
        </w:tc>
        <w:tc>
          <w:tcPr>
            <w:tcW w:w="1021" w:type="dxa"/>
            <w:shd w:val="clear" w:color="auto" w:fill="auto"/>
          </w:tcPr>
          <w:p w14:paraId="5AD208D3" w14:textId="77777777" w:rsidR="00933839" w:rsidRPr="00933839" w:rsidRDefault="00933839" w:rsidP="00933839">
            <w:pPr>
              <w:jc w:val="center"/>
              <w:rPr>
                <w:sz w:val="18"/>
                <w:szCs w:val="18"/>
              </w:rPr>
            </w:pPr>
            <w:r w:rsidRPr="00933839">
              <w:rPr>
                <w:sz w:val="18"/>
                <w:szCs w:val="18"/>
              </w:rPr>
              <w:t>7</w:t>
            </w:r>
          </w:p>
        </w:tc>
        <w:tc>
          <w:tcPr>
            <w:tcW w:w="850" w:type="dxa"/>
          </w:tcPr>
          <w:p w14:paraId="46A96FB4" w14:textId="77777777" w:rsidR="00933839" w:rsidRPr="000A609C" w:rsidRDefault="00933839" w:rsidP="00933839">
            <w:pPr>
              <w:jc w:val="center"/>
              <w:rPr>
                <w:sz w:val="18"/>
                <w:szCs w:val="18"/>
              </w:rPr>
            </w:pPr>
            <w:r w:rsidRPr="000A609C">
              <w:rPr>
                <w:sz w:val="18"/>
                <w:szCs w:val="18"/>
              </w:rPr>
              <w:t>1</w:t>
            </w:r>
          </w:p>
        </w:tc>
        <w:tc>
          <w:tcPr>
            <w:tcW w:w="851" w:type="dxa"/>
          </w:tcPr>
          <w:p w14:paraId="6D2F1931" w14:textId="77777777" w:rsidR="00933839" w:rsidRPr="000A609C" w:rsidRDefault="00933839" w:rsidP="00933839">
            <w:pPr>
              <w:jc w:val="center"/>
              <w:rPr>
                <w:sz w:val="18"/>
                <w:szCs w:val="18"/>
              </w:rPr>
            </w:pPr>
            <w:r w:rsidRPr="000A609C">
              <w:rPr>
                <w:sz w:val="18"/>
                <w:szCs w:val="18"/>
              </w:rPr>
              <w:t>0</w:t>
            </w:r>
          </w:p>
        </w:tc>
        <w:tc>
          <w:tcPr>
            <w:tcW w:w="850" w:type="dxa"/>
          </w:tcPr>
          <w:p w14:paraId="42E64D9C" w14:textId="77777777" w:rsidR="00933839" w:rsidRPr="000A609C" w:rsidRDefault="00933839" w:rsidP="00933839">
            <w:pPr>
              <w:jc w:val="center"/>
              <w:rPr>
                <w:sz w:val="18"/>
                <w:szCs w:val="18"/>
              </w:rPr>
            </w:pPr>
            <w:r w:rsidRPr="000A609C">
              <w:rPr>
                <w:sz w:val="18"/>
                <w:szCs w:val="18"/>
              </w:rPr>
              <w:t>0</w:t>
            </w:r>
          </w:p>
        </w:tc>
        <w:tc>
          <w:tcPr>
            <w:tcW w:w="851" w:type="dxa"/>
          </w:tcPr>
          <w:p w14:paraId="183C273A" w14:textId="77777777" w:rsidR="00933839" w:rsidRPr="000A609C" w:rsidRDefault="00933839" w:rsidP="00933839">
            <w:pPr>
              <w:jc w:val="center"/>
              <w:rPr>
                <w:sz w:val="18"/>
                <w:szCs w:val="18"/>
              </w:rPr>
            </w:pPr>
            <w:r w:rsidRPr="000A609C">
              <w:rPr>
                <w:sz w:val="18"/>
                <w:szCs w:val="18"/>
              </w:rPr>
              <w:t>0</w:t>
            </w:r>
          </w:p>
        </w:tc>
        <w:tc>
          <w:tcPr>
            <w:tcW w:w="1134" w:type="dxa"/>
          </w:tcPr>
          <w:p w14:paraId="27C1DFAA" w14:textId="01C8A68C" w:rsidR="00933839" w:rsidRPr="000A609C" w:rsidRDefault="00933839" w:rsidP="00933839">
            <w:pPr>
              <w:jc w:val="center"/>
              <w:rPr>
                <w:sz w:val="18"/>
                <w:szCs w:val="18"/>
              </w:rPr>
            </w:pPr>
            <w:r w:rsidRPr="000A609C">
              <w:rPr>
                <w:sz w:val="18"/>
                <w:szCs w:val="18"/>
              </w:rPr>
              <w:t>8</w:t>
            </w:r>
          </w:p>
        </w:tc>
      </w:tr>
      <w:tr w:rsidR="00933839" w14:paraId="5A5950B8" w14:textId="77777777" w:rsidTr="00933839">
        <w:tc>
          <w:tcPr>
            <w:tcW w:w="2949" w:type="dxa"/>
          </w:tcPr>
          <w:p w14:paraId="5D0A1921" w14:textId="77777777" w:rsidR="00933839" w:rsidRPr="000A609C" w:rsidRDefault="00933839" w:rsidP="004750F4">
            <w:pPr>
              <w:rPr>
                <w:sz w:val="18"/>
                <w:szCs w:val="18"/>
              </w:rPr>
            </w:pPr>
            <w:r w:rsidRPr="000A609C">
              <w:rPr>
                <w:sz w:val="18"/>
                <w:szCs w:val="18"/>
              </w:rPr>
              <w:t>Indirect jobs</w:t>
            </w:r>
          </w:p>
          <w:p w14:paraId="6772FCA0" w14:textId="77777777" w:rsidR="00933839" w:rsidRPr="000A609C" w:rsidRDefault="00933839" w:rsidP="004750F4">
            <w:pPr>
              <w:rPr>
                <w:sz w:val="18"/>
                <w:szCs w:val="18"/>
              </w:rPr>
            </w:pPr>
          </w:p>
        </w:tc>
        <w:tc>
          <w:tcPr>
            <w:tcW w:w="1021" w:type="dxa"/>
            <w:shd w:val="clear" w:color="auto" w:fill="auto"/>
          </w:tcPr>
          <w:p w14:paraId="113B0CC4" w14:textId="77777777" w:rsidR="00933839" w:rsidRPr="00933839" w:rsidRDefault="00933839" w:rsidP="00933839">
            <w:pPr>
              <w:jc w:val="center"/>
              <w:rPr>
                <w:sz w:val="18"/>
                <w:szCs w:val="18"/>
              </w:rPr>
            </w:pPr>
            <w:r w:rsidRPr="00933839">
              <w:rPr>
                <w:sz w:val="18"/>
                <w:szCs w:val="18"/>
              </w:rPr>
              <w:t>0</w:t>
            </w:r>
          </w:p>
        </w:tc>
        <w:tc>
          <w:tcPr>
            <w:tcW w:w="850" w:type="dxa"/>
          </w:tcPr>
          <w:p w14:paraId="21657AF8" w14:textId="77777777" w:rsidR="00933839" w:rsidRPr="000A609C" w:rsidRDefault="00933839" w:rsidP="00933839">
            <w:pPr>
              <w:jc w:val="center"/>
              <w:rPr>
                <w:sz w:val="18"/>
                <w:szCs w:val="18"/>
              </w:rPr>
            </w:pPr>
            <w:r w:rsidRPr="000A609C">
              <w:rPr>
                <w:sz w:val="18"/>
                <w:szCs w:val="18"/>
              </w:rPr>
              <w:t>0</w:t>
            </w:r>
          </w:p>
        </w:tc>
        <w:tc>
          <w:tcPr>
            <w:tcW w:w="851" w:type="dxa"/>
          </w:tcPr>
          <w:p w14:paraId="4D2B45AC" w14:textId="77777777" w:rsidR="00933839" w:rsidRPr="000A609C" w:rsidRDefault="00933839" w:rsidP="00933839">
            <w:pPr>
              <w:jc w:val="center"/>
              <w:rPr>
                <w:sz w:val="18"/>
                <w:szCs w:val="18"/>
              </w:rPr>
            </w:pPr>
            <w:r w:rsidRPr="000A609C">
              <w:rPr>
                <w:sz w:val="18"/>
                <w:szCs w:val="18"/>
              </w:rPr>
              <w:t>0</w:t>
            </w:r>
          </w:p>
        </w:tc>
        <w:tc>
          <w:tcPr>
            <w:tcW w:w="850" w:type="dxa"/>
          </w:tcPr>
          <w:p w14:paraId="101CBF90" w14:textId="77777777" w:rsidR="00933839" w:rsidRPr="000A609C" w:rsidRDefault="00933839" w:rsidP="00933839">
            <w:pPr>
              <w:jc w:val="center"/>
              <w:rPr>
                <w:sz w:val="18"/>
                <w:szCs w:val="18"/>
              </w:rPr>
            </w:pPr>
            <w:r w:rsidRPr="000A609C">
              <w:rPr>
                <w:sz w:val="18"/>
                <w:szCs w:val="18"/>
              </w:rPr>
              <w:t>1</w:t>
            </w:r>
          </w:p>
        </w:tc>
        <w:tc>
          <w:tcPr>
            <w:tcW w:w="851" w:type="dxa"/>
          </w:tcPr>
          <w:p w14:paraId="39EDB641" w14:textId="77777777" w:rsidR="00933839" w:rsidRPr="000A609C" w:rsidRDefault="00933839" w:rsidP="00933839">
            <w:pPr>
              <w:jc w:val="center"/>
              <w:rPr>
                <w:sz w:val="18"/>
                <w:szCs w:val="18"/>
              </w:rPr>
            </w:pPr>
            <w:r w:rsidRPr="000A609C">
              <w:rPr>
                <w:sz w:val="18"/>
                <w:szCs w:val="18"/>
              </w:rPr>
              <w:t>1.4</w:t>
            </w:r>
          </w:p>
        </w:tc>
        <w:tc>
          <w:tcPr>
            <w:tcW w:w="1134" w:type="dxa"/>
          </w:tcPr>
          <w:p w14:paraId="0F5210C0" w14:textId="5847E3B4" w:rsidR="00933839" w:rsidRPr="000A609C" w:rsidRDefault="00933839" w:rsidP="00933839">
            <w:pPr>
              <w:jc w:val="center"/>
              <w:rPr>
                <w:sz w:val="18"/>
                <w:szCs w:val="18"/>
              </w:rPr>
            </w:pPr>
            <w:r w:rsidRPr="000A609C">
              <w:rPr>
                <w:sz w:val="18"/>
                <w:szCs w:val="18"/>
              </w:rPr>
              <w:t>2.4</w:t>
            </w:r>
          </w:p>
        </w:tc>
      </w:tr>
      <w:tr w:rsidR="00933839" w14:paraId="25AFB4B7" w14:textId="77777777" w:rsidTr="00933839">
        <w:tc>
          <w:tcPr>
            <w:tcW w:w="2949" w:type="dxa"/>
          </w:tcPr>
          <w:p w14:paraId="2F7A7AD0" w14:textId="77777777" w:rsidR="00933839" w:rsidRPr="000A609C" w:rsidRDefault="00933839" w:rsidP="004750F4">
            <w:pPr>
              <w:rPr>
                <w:sz w:val="18"/>
                <w:szCs w:val="18"/>
              </w:rPr>
            </w:pPr>
            <w:r w:rsidRPr="000A609C">
              <w:rPr>
                <w:sz w:val="18"/>
                <w:szCs w:val="18"/>
              </w:rPr>
              <w:t xml:space="preserve">New learners/Apprenticeships </w:t>
            </w:r>
          </w:p>
          <w:p w14:paraId="08C63A7C" w14:textId="77777777" w:rsidR="00933839" w:rsidRPr="000A609C" w:rsidRDefault="00933839" w:rsidP="004750F4">
            <w:pPr>
              <w:rPr>
                <w:sz w:val="18"/>
                <w:szCs w:val="18"/>
              </w:rPr>
            </w:pPr>
            <w:r w:rsidRPr="000A609C">
              <w:rPr>
                <w:sz w:val="18"/>
                <w:szCs w:val="18"/>
              </w:rPr>
              <w:t xml:space="preserve">                  70/30 split </w:t>
            </w:r>
          </w:p>
          <w:p w14:paraId="37BE4E03" w14:textId="77777777" w:rsidR="00933839" w:rsidRPr="000A609C" w:rsidRDefault="00933839" w:rsidP="004750F4">
            <w:pPr>
              <w:rPr>
                <w:sz w:val="18"/>
                <w:szCs w:val="18"/>
              </w:rPr>
            </w:pPr>
          </w:p>
        </w:tc>
        <w:tc>
          <w:tcPr>
            <w:tcW w:w="1021" w:type="dxa"/>
            <w:shd w:val="clear" w:color="auto" w:fill="auto"/>
          </w:tcPr>
          <w:p w14:paraId="5B297A58" w14:textId="77777777" w:rsidR="00933839" w:rsidRPr="00933839" w:rsidRDefault="00933839" w:rsidP="00933839">
            <w:pPr>
              <w:jc w:val="center"/>
              <w:rPr>
                <w:sz w:val="18"/>
                <w:szCs w:val="18"/>
              </w:rPr>
            </w:pPr>
            <w:r w:rsidRPr="00933839">
              <w:rPr>
                <w:sz w:val="18"/>
                <w:szCs w:val="18"/>
              </w:rPr>
              <w:t>100</w:t>
            </w:r>
          </w:p>
        </w:tc>
        <w:tc>
          <w:tcPr>
            <w:tcW w:w="850" w:type="dxa"/>
          </w:tcPr>
          <w:p w14:paraId="61475E5B" w14:textId="77777777" w:rsidR="00933839" w:rsidRPr="000A609C" w:rsidRDefault="00933839" w:rsidP="00933839">
            <w:pPr>
              <w:jc w:val="center"/>
              <w:rPr>
                <w:sz w:val="18"/>
                <w:szCs w:val="18"/>
              </w:rPr>
            </w:pPr>
            <w:r w:rsidRPr="000A609C">
              <w:rPr>
                <w:sz w:val="18"/>
                <w:szCs w:val="18"/>
              </w:rPr>
              <w:t>182</w:t>
            </w:r>
          </w:p>
        </w:tc>
        <w:tc>
          <w:tcPr>
            <w:tcW w:w="851" w:type="dxa"/>
          </w:tcPr>
          <w:p w14:paraId="09FBA17A" w14:textId="77777777" w:rsidR="00933839" w:rsidRPr="000A609C" w:rsidRDefault="00933839" w:rsidP="00933839">
            <w:pPr>
              <w:jc w:val="center"/>
              <w:rPr>
                <w:sz w:val="18"/>
                <w:szCs w:val="18"/>
              </w:rPr>
            </w:pPr>
            <w:r w:rsidRPr="000A609C">
              <w:rPr>
                <w:sz w:val="18"/>
                <w:szCs w:val="18"/>
              </w:rPr>
              <w:t>261</w:t>
            </w:r>
          </w:p>
        </w:tc>
        <w:tc>
          <w:tcPr>
            <w:tcW w:w="850" w:type="dxa"/>
          </w:tcPr>
          <w:p w14:paraId="156E85B0" w14:textId="77777777" w:rsidR="00933839" w:rsidRPr="000A609C" w:rsidRDefault="00933839" w:rsidP="00933839">
            <w:pPr>
              <w:jc w:val="center"/>
              <w:rPr>
                <w:sz w:val="18"/>
                <w:szCs w:val="18"/>
              </w:rPr>
            </w:pPr>
            <w:r w:rsidRPr="000A609C">
              <w:rPr>
                <w:sz w:val="18"/>
                <w:szCs w:val="18"/>
              </w:rPr>
              <w:t>300</w:t>
            </w:r>
          </w:p>
        </w:tc>
        <w:tc>
          <w:tcPr>
            <w:tcW w:w="851" w:type="dxa"/>
          </w:tcPr>
          <w:p w14:paraId="4C0B6589" w14:textId="77777777" w:rsidR="00933839" w:rsidRPr="000A609C" w:rsidRDefault="00933839" w:rsidP="00933839">
            <w:pPr>
              <w:jc w:val="center"/>
              <w:rPr>
                <w:sz w:val="18"/>
                <w:szCs w:val="18"/>
              </w:rPr>
            </w:pPr>
            <w:r w:rsidRPr="000A609C">
              <w:rPr>
                <w:sz w:val="18"/>
                <w:szCs w:val="18"/>
              </w:rPr>
              <w:t>311</w:t>
            </w:r>
          </w:p>
        </w:tc>
        <w:tc>
          <w:tcPr>
            <w:tcW w:w="1134" w:type="dxa"/>
          </w:tcPr>
          <w:p w14:paraId="671EDA75" w14:textId="78317E38" w:rsidR="00933839" w:rsidRPr="000A609C" w:rsidRDefault="00933839" w:rsidP="00933839">
            <w:pPr>
              <w:jc w:val="center"/>
              <w:rPr>
                <w:sz w:val="18"/>
                <w:szCs w:val="18"/>
              </w:rPr>
            </w:pPr>
            <w:r w:rsidRPr="000A609C">
              <w:rPr>
                <w:sz w:val="18"/>
                <w:szCs w:val="18"/>
              </w:rPr>
              <w:t>1154</w:t>
            </w:r>
          </w:p>
        </w:tc>
      </w:tr>
      <w:tr w:rsidR="00933839" w14:paraId="1E5CDD96" w14:textId="77777777" w:rsidTr="00933839">
        <w:tc>
          <w:tcPr>
            <w:tcW w:w="2949" w:type="dxa"/>
          </w:tcPr>
          <w:p w14:paraId="60B48DC5" w14:textId="77777777" w:rsidR="00933839" w:rsidRPr="000A609C" w:rsidRDefault="00933839" w:rsidP="004750F4">
            <w:pPr>
              <w:rPr>
                <w:sz w:val="18"/>
                <w:szCs w:val="18"/>
              </w:rPr>
            </w:pPr>
            <w:r w:rsidRPr="000A609C">
              <w:rPr>
                <w:sz w:val="18"/>
                <w:szCs w:val="18"/>
              </w:rPr>
              <w:t>Floor space created</w:t>
            </w:r>
          </w:p>
        </w:tc>
        <w:tc>
          <w:tcPr>
            <w:tcW w:w="1021" w:type="dxa"/>
            <w:shd w:val="clear" w:color="auto" w:fill="auto"/>
          </w:tcPr>
          <w:p w14:paraId="33CF38EA" w14:textId="77777777" w:rsidR="00933839" w:rsidRPr="00933839" w:rsidRDefault="00933839" w:rsidP="00933839">
            <w:pPr>
              <w:jc w:val="center"/>
              <w:rPr>
                <w:sz w:val="18"/>
                <w:szCs w:val="18"/>
              </w:rPr>
            </w:pPr>
            <w:r w:rsidRPr="00933839">
              <w:rPr>
                <w:sz w:val="18"/>
                <w:szCs w:val="18"/>
              </w:rPr>
              <w:t>5000m2</w:t>
            </w:r>
          </w:p>
        </w:tc>
        <w:tc>
          <w:tcPr>
            <w:tcW w:w="850" w:type="dxa"/>
          </w:tcPr>
          <w:p w14:paraId="2FC741F3" w14:textId="77777777" w:rsidR="00933839" w:rsidRPr="000A609C" w:rsidRDefault="00933839" w:rsidP="00933839">
            <w:pPr>
              <w:jc w:val="center"/>
              <w:rPr>
                <w:sz w:val="18"/>
                <w:szCs w:val="18"/>
              </w:rPr>
            </w:pPr>
            <w:r w:rsidRPr="000A609C">
              <w:rPr>
                <w:sz w:val="18"/>
                <w:szCs w:val="18"/>
              </w:rPr>
              <w:t>x</w:t>
            </w:r>
          </w:p>
        </w:tc>
        <w:tc>
          <w:tcPr>
            <w:tcW w:w="851" w:type="dxa"/>
          </w:tcPr>
          <w:p w14:paraId="0A39D20F" w14:textId="77777777" w:rsidR="00933839" w:rsidRPr="000A609C" w:rsidRDefault="00933839" w:rsidP="00933839">
            <w:pPr>
              <w:jc w:val="center"/>
              <w:rPr>
                <w:sz w:val="18"/>
                <w:szCs w:val="18"/>
              </w:rPr>
            </w:pPr>
            <w:r w:rsidRPr="000A609C">
              <w:rPr>
                <w:sz w:val="18"/>
                <w:szCs w:val="18"/>
              </w:rPr>
              <w:t>x</w:t>
            </w:r>
          </w:p>
        </w:tc>
        <w:tc>
          <w:tcPr>
            <w:tcW w:w="850" w:type="dxa"/>
          </w:tcPr>
          <w:p w14:paraId="673C4790" w14:textId="77777777" w:rsidR="00933839" w:rsidRPr="000A609C" w:rsidRDefault="00933839" w:rsidP="00933839">
            <w:pPr>
              <w:jc w:val="center"/>
              <w:rPr>
                <w:sz w:val="18"/>
                <w:szCs w:val="18"/>
              </w:rPr>
            </w:pPr>
            <w:r w:rsidRPr="000A609C">
              <w:rPr>
                <w:sz w:val="18"/>
                <w:szCs w:val="18"/>
              </w:rPr>
              <w:t>x</w:t>
            </w:r>
          </w:p>
        </w:tc>
        <w:tc>
          <w:tcPr>
            <w:tcW w:w="851" w:type="dxa"/>
          </w:tcPr>
          <w:p w14:paraId="0E924F69" w14:textId="77777777" w:rsidR="00933839" w:rsidRPr="000A609C" w:rsidRDefault="00933839" w:rsidP="00933839">
            <w:pPr>
              <w:jc w:val="center"/>
              <w:rPr>
                <w:sz w:val="18"/>
                <w:szCs w:val="18"/>
              </w:rPr>
            </w:pPr>
            <w:r w:rsidRPr="000A609C">
              <w:rPr>
                <w:sz w:val="18"/>
                <w:szCs w:val="18"/>
              </w:rPr>
              <w:t>x</w:t>
            </w:r>
          </w:p>
        </w:tc>
        <w:tc>
          <w:tcPr>
            <w:tcW w:w="1134" w:type="dxa"/>
          </w:tcPr>
          <w:p w14:paraId="119F1106" w14:textId="5CBDACA0" w:rsidR="00933839" w:rsidRPr="000A609C" w:rsidRDefault="00933839" w:rsidP="00933839">
            <w:pPr>
              <w:jc w:val="center"/>
              <w:rPr>
                <w:sz w:val="18"/>
                <w:szCs w:val="18"/>
              </w:rPr>
            </w:pPr>
            <w:r w:rsidRPr="000A609C">
              <w:rPr>
                <w:sz w:val="18"/>
                <w:szCs w:val="18"/>
              </w:rPr>
              <w:t>5000m2</w:t>
            </w:r>
          </w:p>
        </w:tc>
      </w:tr>
      <w:tr w:rsidR="00933839" w14:paraId="56ED519B" w14:textId="77777777" w:rsidTr="00933839">
        <w:tc>
          <w:tcPr>
            <w:tcW w:w="2949" w:type="dxa"/>
          </w:tcPr>
          <w:p w14:paraId="6BAD8521" w14:textId="77777777" w:rsidR="00933839" w:rsidRPr="000A609C" w:rsidRDefault="00933839" w:rsidP="004750F4">
            <w:pPr>
              <w:rPr>
                <w:sz w:val="18"/>
                <w:szCs w:val="18"/>
              </w:rPr>
            </w:pPr>
            <w:r w:rsidRPr="000A609C">
              <w:rPr>
                <w:sz w:val="18"/>
                <w:szCs w:val="18"/>
              </w:rPr>
              <w:t xml:space="preserve">Unlocked land </w:t>
            </w:r>
          </w:p>
        </w:tc>
        <w:tc>
          <w:tcPr>
            <w:tcW w:w="1021" w:type="dxa"/>
            <w:shd w:val="clear" w:color="auto" w:fill="auto"/>
          </w:tcPr>
          <w:p w14:paraId="76E03B00" w14:textId="77777777" w:rsidR="00933839" w:rsidRPr="00933839" w:rsidRDefault="00933839" w:rsidP="00933839">
            <w:pPr>
              <w:jc w:val="center"/>
              <w:rPr>
                <w:sz w:val="18"/>
                <w:szCs w:val="18"/>
              </w:rPr>
            </w:pPr>
            <w:r w:rsidRPr="00933839">
              <w:rPr>
                <w:sz w:val="18"/>
                <w:szCs w:val="18"/>
              </w:rPr>
              <w:t>0.8HA</w:t>
            </w:r>
          </w:p>
        </w:tc>
        <w:tc>
          <w:tcPr>
            <w:tcW w:w="850" w:type="dxa"/>
          </w:tcPr>
          <w:p w14:paraId="134464B7" w14:textId="77777777" w:rsidR="00933839" w:rsidRPr="000A609C" w:rsidRDefault="00933839" w:rsidP="00933839">
            <w:pPr>
              <w:jc w:val="center"/>
              <w:rPr>
                <w:sz w:val="18"/>
                <w:szCs w:val="18"/>
              </w:rPr>
            </w:pPr>
            <w:r w:rsidRPr="000A609C">
              <w:rPr>
                <w:sz w:val="18"/>
                <w:szCs w:val="18"/>
              </w:rPr>
              <w:t>X</w:t>
            </w:r>
          </w:p>
        </w:tc>
        <w:tc>
          <w:tcPr>
            <w:tcW w:w="851" w:type="dxa"/>
          </w:tcPr>
          <w:p w14:paraId="41D881BE" w14:textId="77777777" w:rsidR="00933839" w:rsidRPr="000A609C" w:rsidRDefault="00933839" w:rsidP="00933839">
            <w:pPr>
              <w:jc w:val="center"/>
              <w:rPr>
                <w:sz w:val="18"/>
                <w:szCs w:val="18"/>
              </w:rPr>
            </w:pPr>
            <w:r w:rsidRPr="000A609C">
              <w:rPr>
                <w:sz w:val="18"/>
                <w:szCs w:val="18"/>
              </w:rPr>
              <w:t>X</w:t>
            </w:r>
          </w:p>
        </w:tc>
        <w:tc>
          <w:tcPr>
            <w:tcW w:w="850" w:type="dxa"/>
          </w:tcPr>
          <w:p w14:paraId="29F637E2" w14:textId="77777777" w:rsidR="00933839" w:rsidRPr="000A609C" w:rsidRDefault="00933839" w:rsidP="00933839">
            <w:pPr>
              <w:jc w:val="center"/>
              <w:rPr>
                <w:sz w:val="18"/>
                <w:szCs w:val="18"/>
              </w:rPr>
            </w:pPr>
            <w:r w:rsidRPr="000A609C">
              <w:rPr>
                <w:sz w:val="18"/>
                <w:szCs w:val="18"/>
              </w:rPr>
              <w:t>X</w:t>
            </w:r>
          </w:p>
        </w:tc>
        <w:tc>
          <w:tcPr>
            <w:tcW w:w="851" w:type="dxa"/>
          </w:tcPr>
          <w:p w14:paraId="65CA951E" w14:textId="77777777" w:rsidR="00933839" w:rsidRPr="000A609C" w:rsidRDefault="00933839" w:rsidP="00933839">
            <w:pPr>
              <w:jc w:val="center"/>
              <w:rPr>
                <w:sz w:val="18"/>
                <w:szCs w:val="18"/>
              </w:rPr>
            </w:pPr>
            <w:r w:rsidRPr="000A609C">
              <w:rPr>
                <w:sz w:val="18"/>
                <w:szCs w:val="18"/>
              </w:rPr>
              <w:t>X</w:t>
            </w:r>
          </w:p>
        </w:tc>
        <w:tc>
          <w:tcPr>
            <w:tcW w:w="1134" w:type="dxa"/>
          </w:tcPr>
          <w:p w14:paraId="2D6D589D" w14:textId="5C62302D" w:rsidR="00933839" w:rsidRPr="000A609C" w:rsidRDefault="00933839" w:rsidP="00933839">
            <w:pPr>
              <w:jc w:val="center"/>
              <w:rPr>
                <w:sz w:val="18"/>
                <w:szCs w:val="18"/>
              </w:rPr>
            </w:pPr>
            <w:r w:rsidRPr="000A609C">
              <w:rPr>
                <w:sz w:val="18"/>
                <w:szCs w:val="18"/>
              </w:rPr>
              <w:t>0.8HA</w:t>
            </w:r>
          </w:p>
        </w:tc>
      </w:tr>
      <w:tr w:rsidR="00933839" w14:paraId="2C504145" w14:textId="77777777" w:rsidTr="00933839">
        <w:tc>
          <w:tcPr>
            <w:tcW w:w="2949" w:type="dxa"/>
          </w:tcPr>
          <w:p w14:paraId="69608797" w14:textId="77777777" w:rsidR="00933839" w:rsidRPr="000A609C" w:rsidRDefault="00933839" w:rsidP="004750F4">
            <w:pPr>
              <w:rPr>
                <w:sz w:val="18"/>
                <w:szCs w:val="18"/>
              </w:rPr>
            </w:pPr>
            <w:r w:rsidRPr="000A609C">
              <w:rPr>
                <w:sz w:val="18"/>
                <w:szCs w:val="18"/>
              </w:rPr>
              <w:t>Contribution to new product development: IP generation/ spin-off/ licensing</w:t>
            </w:r>
          </w:p>
          <w:p w14:paraId="373E955B" w14:textId="77777777" w:rsidR="00933839" w:rsidRPr="000A609C" w:rsidRDefault="00933839" w:rsidP="004750F4">
            <w:pPr>
              <w:rPr>
                <w:sz w:val="18"/>
                <w:szCs w:val="18"/>
              </w:rPr>
            </w:pPr>
            <w:r w:rsidRPr="000A609C">
              <w:rPr>
                <w:sz w:val="18"/>
                <w:szCs w:val="18"/>
              </w:rPr>
              <w:t>(new business start-ups)</w:t>
            </w:r>
          </w:p>
          <w:p w14:paraId="76F4944E" w14:textId="77777777" w:rsidR="00933839" w:rsidRPr="000A609C" w:rsidRDefault="00933839" w:rsidP="004750F4">
            <w:pPr>
              <w:rPr>
                <w:sz w:val="18"/>
                <w:szCs w:val="18"/>
              </w:rPr>
            </w:pPr>
          </w:p>
        </w:tc>
        <w:tc>
          <w:tcPr>
            <w:tcW w:w="1021" w:type="dxa"/>
            <w:shd w:val="clear" w:color="auto" w:fill="auto"/>
          </w:tcPr>
          <w:p w14:paraId="7DDC629A" w14:textId="77777777" w:rsidR="00933839" w:rsidRPr="00933839" w:rsidRDefault="00933839" w:rsidP="00933839">
            <w:pPr>
              <w:jc w:val="center"/>
              <w:rPr>
                <w:sz w:val="18"/>
                <w:szCs w:val="18"/>
              </w:rPr>
            </w:pPr>
            <w:r w:rsidRPr="00933839">
              <w:rPr>
                <w:sz w:val="18"/>
                <w:szCs w:val="18"/>
              </w:rPr>
              <w:t>0</w:t>
            </w:r>
          </w:p>
        </w:tc>
        <w:tc>
          <w:tcPr>
            <w:tcW w:w="850" w:type="dxa"/>
          </w:tcPr>
          <w:p w14:paraId="0ABFA6E2" w14:textId="77777777" w:rsidR="00933839" w:rsidRPr="000A609C" w:rsidRDefault="00933839" w:rsidP="00933839">
            <w:pPr>
              <w:jc w:val="center"/>
              <w:rPr>
                <w:sz w:val="18"/>
                <w:szCs w:val="18"/>
              </w:rPr>
            </w:pPr>
            <w:r w:rsidRPr="000A609C">
              <w:rPr>
                <w:sz w:val="18"/>
                <w:szCs w:val="18"/>
              </w:rPr>
              <w:t>0</w:t>
            </w:r>
          </w:p>
        </w:tc>
        <w:tc>
          <w:tcPr>
            <w:tcW w:w="851" w:type="dxa"/>
          </w:tcPr>
          <w:p w14:paraId="7571E62B" w14:textId="77777777" w:rsidR="00933839" w:rsidRPr="000A609C" w:rsidRDefault="00933839" w:rsidP="00933839">
            <w:pPr>
              <w:jc w:val="center"/>
              <w:rPr>
                <w:sz w:val="18"/>
                <w:szCs w:val="18"/>
              </w:rPr>
            </w:pPr>
            <w:r w:rsidRPr="000A609C">
              <w:rPr>
                <w:sz w:val="18"/>
                <w:szCs w:val="18"/>
              </w:rPr>
              <w:t>2</w:t>
            </w:r>
          </w:p>
        </w:tc>
        <w:tc>
          <w:tcPr>
            <w:tcW w:w="850" w:type="dxa"/>
          </w:tcPr>
          <w:p w14:paraId="2D97F70F" w14:textId="77777777" w:rsidR="00933839" w:rsidRPr="000A609C" w:rsidRDefault="00933839" w:rsidP="00933839">
            <w:pPr>
              <w:jc w:val="center"/>
              <w:rPr>
                <w:sz w:val="18"/>
                <w:szCs w:val="18"/>
              </w:rPr>
            </w:pPr>
            <w:r w:rsidRPr="000A609C">
              <w:rPr>
                <w:sz w:val="18"/>
                <w:szCs w:val="18"/>
              </w:rPr>
              <w:t>2</w:t>
            </w:r>
          </w:p>
        </w:tc>
        <w:tc>
          <w:tcPr>
            <w:tcW w:w="851" w:type="dxa"/>
          </w:tcPr>
          <w:p w14:paraId="39EDC29B" w14:textId="77777777" w:rsidR="00933839" w:rsidRPr="000A609C" w:rsidRDefault="00933839" w:rsidP="00933839">
            <w:pPr>
              <w:jc w:val="center"/>
              <w:rPr>
                <w:sz w:val="18"/>
                <w:szCs w:val="18"/>
              </w:rPr>
            </w:pPr>
            <w:r w:rsidRPr="000A609C">
              <w:rPr>
                <w:sz w:val="18"/>
                <w:szCs w:val="18"/>
              </w:rPr>
              <w:t>4</w:t>
            </w:r>
          </w:p>
        </w:tc>
        <w:tc>
          <w:tcPr>
            <w:tcW w:w="1134" w:type="dxa"/>
          </w:tcPr>
          <w:p w14:paraId="13973EC8" w14:textId="065BCEE6" w:rsidR="00933839" w:rsidRPr="000A609C" w:rsidRDefault="00933839" w:rsidP="00933839">
            <w:pPr>
              <w:jc w:val="center"/>
              <w:rPr>
                <w:sz w:val="18"/>
                <w:szCs w:val="18"/>
              </w:rPr>
            </w:pPr>
            <w:r w:rsidRPr="000A609C">
              <w:rPr>
                <w:sz w:val="18"/>
                <w:szCs w:val="18"/>
              </w:rPr>
              <w:t>8</w:t>
            </w:r>
          </w:p>
        </w:tc>
      </w:tr>
      <w:tr w:rsidR="00933839" w14:paraId="29D53BE5" w14:textId="77777777" w:rsidTr="00933839">
        <w:tc>
          <w:tcPr>
            <w:tcW w:w="2949" w:type="dxa"/>
          </w:tcPr>
          <w:p w14:paraId="1DE4B9E7" w14:textId="77777777" w:rsidR="00933839" w:rsidRPr="000A609C" w:rsidRDefault="00933839" w:rsidP="004750F4">
            <w:pPr>
              <w:rPr>
                <w:sz w:val="18"/>
                <w:szCs w:val="18"/>
              </w:rPr>
            </w:pPr>
            <w:r w:rsidRPr="000A609C">
              <w:rPr>
                <w:sz w:val="18"/>
                <w:szCs w:val="18"/>
              </w:rPr>
              <w:t>Additional public sector investment leveraged</w:t>
            </w:r>
          </w:p>
        </w:tc>
        <w:tc>
          <w:tcPr>
            <w:tcW w:w="1021" w:type="dxa"/>
            <w:shd w:val="clear" w:color="auto" w:fill="auto"/>
          </w:tcPr>
          <w:p w14:paraId="5F260F39" w14:textId="77777777" w:rsidR="00933839" w:rsidRPr="00933839" w:rsidRDefault="00933839" w:rsidP="00933839">
            <w:pPr>
              <w:jc w:val="center"/>
              <w:rPr>
                <w:sz w:val="18"/>
                <w:szCs w:val="18"/>
              </w:rPr>
            </w:pPr>
            <w:r w:rsidRPr="00933839">
              <w:rPr>
                <w:sz w:val="18"/>
                <w:szCs w:val="18"/>
              </w:rPr>
              <w:t>0</w:t>
            </w:r>
          </w:p>
        </w:tc>
        <w:tc>
          <w:tcPr>
            <w:tcW w:w="850" w:type="dxa"/>
          </w:tcPr>
          <w:p w14:paraId="5222DAFE" w14:textId="77777777" w:rsidR="00933839" w:rsidRPr="000A609C" w:rsidRDefault="00933839" w:rsidP="00933839">
            <w:pPr>
              <w:jc w:val="center"/>
              <w:rPr>
                <w:sz w:val="18"/>
                <w:szCs w:val="18"/>
              </w:rPr>
            </w:pPr>
            <w:r w:rsidRPr="000A609C">
              <w:rPr>
                <w:sz w:val="18"/>
                <w:szCs w:val="18"/>
              </w:rPr>
              <w:t>1</w:t>
            </w:r>
          </w:p>
        </w:tc>
        <w:tc>
          <w:tcPr>
            <w:tcW w:w="851" w:type="dxa"/>
          </w:tcPr>
          <w:p w14:paraId="1E382196" w14:textId="77777777" w:rsidR="00933839" w:rsidRPr="000A609C" w:rsidRDefault="00933839" w:rsidP="00933839">
            <w:pPr>
              <w:jc w:val="center"/>
              <w:rPr>
                <w:sz w:val="18"/>
                <w:szCs w:val="18"/>
              </w:rPr>
            </w:pPr>
            <w:r w:rsidRPr="000A609C">
              <w:rPr>
                <w:sz w:val="18"/>
                <w:szCs w:val="18"/>
              </w:rPr>
              <w:t>2.5</w:t>
            </w:r>
          </w:p>
        </w:tc>
        <w:tc>
          <w:tcPr>
            <w:tcW w:w="850" w:type="dxa"/>
          </w:tcPr>
          <w:p w14:paraId="6A6D2CC4" w14:textId="77777777" w:rsidR="00933839" w:rsidRPr="000A609C" w:rsidRDefault="00933839" w:rsidP="00933839">
            <w:pPr>
              <w:jc w:val="center"/>
              <w:rPr>
                <w:sz w:val="18"/>
                <w:szCs w:val="18"/>
              </w:rPr>
            </w:pPr>
            <w:r w:rsidRPr="000A609C">
              <w:rPr>
                <w:sz w:val="18"/>
                <w:szCs w:val="18"/>
              </w:rPr>
              <w:t>3</w:t>
            </w:r>
          </w:p>
        </w:tc>
        <w:tc>
          <w:tcPr>
            <w:tcW w:w="851" w:type="dxa"/>
          </w:tcPr>
          <w:p w14:paraId="795B3AA9" w14:textId="77777777" w:rsidR="00933839" w:rsidRPr="000A609C" w:rsidRDefault="00933839" w:rsidP="00933839">
            <w:pPr>
              <w:jc w:val="center"/>
              <w:rPr>
                <w:sz w:val="18"/>
                <w:szCs w:val="18"/>
              </w:rPr>
            </w:pPr>
            <w:r w:rsidRPr="000A609C">
              <w:rPr>
                <w:sz w:val="18"/>
                <w:szCs w:val="18"/>
              </w:rPr>
              <w:t>4</w:t>
            </w:r>
          </w:p>
        </w:tc>
        <w:tc>
          <w:tcPr>
            <w:tcW w:w="1134" w:type="dxa"/>
          </w:tcPr>
          <w:p w14:paraId="0D705763" w14:textId="04E64D82" w:rsidR="00933839" w:rsidRPr="000A609C" w:rsidRDefault="00933839" w:rsidP="00933839">
            <w:pPr>
              <w:jc w:val="center"/>
              <w:rPr>
                <w:sz w:val="18"/>
                <w:szCs w:val="18"/>
              </w:rPr>
            </w:pPr>
            <w:r w:rsidRPr="000A609C">
              <w:rPr>
                <w:sz w:val="18"/>
                <w:szCs w:val="18"/>
              </w:rPr>
              <w:t>£10.5m</w:t>
            </w:r>
          </w:p>
        </w:tc>
      </w:tr>
      <w:tr w:rsidR="00933839" w14:paraId="2ABC954C" w14:textId="77777777" w:rsidTr="00933839">
        <w:tc>
          <w:tcPr>
            <w:tcW w:w="2949" w:type="dxa"/>
          </w:tcPr>
          <w:p w14:paraId="74678C3E" w14:textId="77777777" w:rsidR="00933839" w:rsidRPr="000A609C" w:rsidRDefault="00933839" w:rsidP="004750F4">
            <w:pPr>
              <w:rPr>
                <w:sz w:val="18"/>
                <w:szCs w:val="18"/>
              </w:rPr>
            </w:pPr>
            <w:r w:rsidRPr="000A609C">
              <w:rPr>
                <w:sz w:val="18"/>
                <w:szCs w:val="18"/>
              </w:rPr>
              <w:t>Additional private sector investment leveraged</w:t>
            </w:r>
          </w:p>
        </w:tc>
        <w:tc>
          <w:tcPr>
            <w:tcW w:w="1021" w:type="dxa"/>
            <w:shd w:val="clear" w:color="auto" w:fill="auto"/>
          </w:tcPr>
          <w:p w14:paraId="0940496D" w14:textId="77777777" w:rsidR="00933839" w:rsidRPr="00933839" w:rsidRDefault="00933839" w:rsidP="00933839">
            <w:pPr>
              <w:jc w:val="center"/>
              <w:rPr>
                <w:sz w:val="18"/>
                <w:szCs w:val="18"/>
              </w:rPr>
            </w:pPr>
            <w:r w:rsidRPr="00933839">
              <w:rPr>
                <w:sz w:val="18"/>
                <w:szCs w:val="18"/>
              </w:rPr>
              <w:t>0</w:t>
            </w:r>
          </w:p>
        </w:tc>
        <w:tc>
          <w:tcPr>
            <w:tcW w:w="850" w:type="dxa"/>
          </w:tcPr>
          <w:p w14:paraId="024D9831" w14:textId="77777777" w:rsidR="00933839" w:rsidRPr="000A609C" w:rsidRDefault="00933839" w:rsidP="00933839">
            <w:pPr>
              <w:jc w:val="center"/>
              <w:rPr>
                <w:sz w:val="18"/>
                <w:szCs w:val="18"/>
              </w:rPr>
            </w:pPr>
            <w:r w:rsidRPr="000A609C">
              <w:rPr>
                <w:sz w:val="18"/>
                <w:szCs w:val="18"/>
              </w:rPr>
              <w:t>0.25</w:t>
            </w:r>
          </w:p>
        </w:tc>
        <w:tc>
          <w:tcPr>
            <w:tcW w:w="851" w:type="dxa"/>
          </w:tcPr>
          <w:p w14:paraId="75D44F1D" w14:textId="77777777" w:rsidR="00933839" w:rsidRPr="000A609C" w:rsidRDefault="00933839" w:rsidP="00933839">
            <w:pPr>
              <w:jc w:val="center"/>
              <w:rPr>
                <w:sz w:val="18"/>
                <w:szCs w:val="18"/>
              </w:rPr>
            </w:pPr>
            <w:r w:rsidRPr="000A609C">
              <w:rPr>
                <w:sz w:val="18"/>
                <w:szCs w:val="18"/>
              </w:rPr>
              <w:t>0.5</w:t>
            </w:r>
          </w:p>
        </w:tc>
        <w:tc>
          <w:tcPr>
            <w:tcW w:w="850" w:type="dxa"/>
          </w:tcPr>
          <w:p w14:paraId="6CEBF808" w14:textId="77777777" w:rsidR="00933839" w:rsidRPr="000A609C" w:rsidRDefault="00933839" w:rsidP="00933839">
            <w:pPr>
              <w:jc w:val="center"/>
              <w:rPr>
                <w:sz w:val="18"/>
                <w:szCs w:val="18"/>
              </w:rPr>
            </w:pPr>
            <w:r w:rsidRPr="000A609C">
              <w:rPr>
                <w:sz w:val="18"/>
                <w:szCs w:val="18"/>
              </w:rPr>
              <w:t>2</w:t>
            </w:r>
          </w:p>
        </w:tc>
        <w:tc>
          <w:tcPr>
            <w:tcW w:w="851" w:type="dxa"/>
          </w:tcPr>
          <w:p w14:paraId="33973C6C" w14:textId="77777777" w:rsidR="00933839" w:rsidRPr="000A609C" w:rsidRDefault="00933839" w:rsidP="00933839">
            <w:pPr>
              <w:jc w:val="center"/>
              <w:rPr>
                <w:sz w:val="18"/>
                <w:szCs w:val="18"/>
              </w:rPr>
            </w:pPr>
            <w:r w:rsidRPr="000A609C">
              <w:rPr>
                <w:sz w:val="18"/>
                <w:szCs w:val="18"/>
              </w:rPr>
              <w:t>2.5</w:t>
            </w:r>
          </w:p>
        </w:tc>
        <w:tc>
          <w:tcPr>
            <w:tcW w:w="1134" w:type="dxa"/>
          </w:tcPr>
          <w:p w14:paraId="320FFF29" w14:textId="576B2979" w:rsidR="00933839" w:rsidRPr="000A609C" w:rsidRDefault="00933839" w:rsidP="00933839">
            <w:pPr>
              <w:jc w:val="center"/>
              <w:rPr>
                <w:sz w:val="18"/>
                <w:szCs w:val="18"/>
              </w:rPr>
            </w:pPr>
            <w:r w:rsidRPr="000A609C">
              <w:rPr>
                <w:sz w:val="18"/>
                <w:szCs w:val="18"/>
              </w:rPr>
              <w:t>£5.25m</w:t>
            </w:r>
          </w:p>
        </w:tc>
      </w:tr>
      <w:tr w:rsidR="00933839" w14:paraId="6804DE3C" w14:textId="77777777" w:rsidTr="00933839">
        <w:tc>
          <w:tcPr>
            <w:tcW w:w="2949" w:type="dxa"/>
          </w:tcPr>
          <w:p w14:paraId="1FB85070" w14:textId="77777777" w:rsidR="00933839" w:rsidRPr="000A609C" w:rsidRDefault="00933839" w:rsidP="004750F4">
            <w:pPr>
              <w:rPr>
                <w:sz w:val="18"/>
                <w:szCs w:val="18"/>
              </w:rPr>
            </w:pPr>
            <w:r w:rsidRPr="000A609C">
              <w:rPr>
                <w:sz w:val="18"/>
                <w:szCs w:val="18"/>
              </w:rPr>
              <w:t>GVA from salaries to local economy</w:t>
            </w:r>
          </w:p>
        </w:tc>
        <w:tc>
          <w:tcPr>
            <w:tcW w:w="1021" w:type="dxa"/>
            <w:shd w:val="clear" w:color="auto" w:fill="auto"/>
          </w:tcPr>
          <w:p w14:paraId="04AF429E" w14:textId="77777777" w:rsidR="00933839" w:rsidRPr="00933839" w:rsidRDefault="00933839" w:rsidP="00933839">
            <w:pPr>
              <w:jc w:val="center"/>
              <w:rPr>
                <w:sz w:val="18"/>
                <w:szCs w:val="18"/>
              </w:rPr>
            </w:pPr>
            <w:r w:rsidRPr="00933839">
              <w:rPr>
                <w:sz w:val="18"/>
                <w:szCs w:val="18"/>
              </w:rPr>
              <w:t>0</w:t>
            </w:r>
          </w:p>
        </w:tc>
        <w:tc>
          <w:tcPr>
            <w:tcW w:w="850" w:type="dxa"/>
          </w:tcPr>
          <w:p w14:paraId="529B5614" w14:textId="77777777" w:rsidR="00933839" w:rsidRPr="000A609C" w:rsidRDefault="00933839" w:rsidP="00933839">
            <w:pPr>
              <w:jc w:val="center"/>
              <w:rPr>
                <w:sz w:val="18"/>
                <w:szCs w:val="18"/>
              </w:rPr>
            </w:pPr>
            <w:r w:rsidRPr="000A609C">
              <w:rPr>
                <w:sz w:val="18"/>
                <w:szCs w:val="18"/>
              </w:rPr>
              <w:t>500k</w:t>
            </w:r>
          </w:p>
        </w:tc>
        <w:tc>
          <w:tcPr>
            <w:tcW w:w="851" w:type="dxa"/>
          </w:tcPr>
          <w:p w14:paraId="2C421D53" w14:textId="77777777" w:rsidR="00933839" w:rsidRPr="000A609C" w:rsidRDefault="00933839" w:rsidP="00933839">
            <w:pPr>
              <w:jc w:val="center"/>
              <w:rPr>
                <w:sz w:val="18"/>
                <w:szCs w:val="18"/>
              </w:rPr>
            </w:pPr>
            <w:r w:rsidRPr="000A609C">
              <w:rPr>
                <w:sz w:val="18"/>
                <w:szCs w:val="18"/>
              </w:rPr>
              <w:t>500k</w:t>
            </w:r>
          </w:p>
        </w:tc>
        <w:tc>
          <w:tcPr>
            <w:tcW w:w="850" w:type="dxa"/>
          </w:tcPr>
          <w:p w14:paraId="7F6BCDBE" w14:textId="77777777" w:rsidR="00933839" w:rsidRPr="000A609C" w:rsidRDefault="00933839" w:rsidP="00933839">
            <w:pPr>
              <w:jc w:val="center"/>
              <w:rPr>
                <w:sz w:val="18"/>
                <w:szCs w:val="18"/>
              </w:rPr>
            </w:pPr>
            <w:r w:rsidRPr="000A609C">
              <w:rPr>
                <w:sz w:val="18"/>
                <w:szCs w:val="18"/>
              </w:rPr>
              <w:t>500k</w:t>
            </w:r>
          </w:p>
        </w:tc>
        <w:tc>
          <w:tcPr>
            <w:tcW w:w="851" w:type="dxa"/>
          </w:tcPr>
          <w:p w14:paraId="65C0F4FF" w14:textId="77777777" w:rsidR="00933839" w:rsidRPr="000A609C" w:rsidRDefault="00933839" w:rsidP="00933839">
            <w:pPr>
              <w:jc w:val="center"/>
              <w:rPr>
                <w:sz w:val="18"/>
                <w:szCs w:val="18"/>
              </w:rPr>
            </w:pPr>
            <w:r w:rsidRPr="000A609C">
              <w:rPr>
                <w:sz w:val="18"/>
                <w:szCs w:val="18"/>
              </w:rPr>
              <w:t>500k</w:t>
            </w:r>
          </w:p>
        </w:tc>
        <w:tc>
          <w:tcPr>
            <w:tcW w:w="1134" w:type="dxa"/>
          </w:tcPr>
          <w:p w14:paraId="789ADC5D" w14:textId="7AD6A35B" w:rsidR="00933839" w:rsidRPr="000A609C" w:rsidRDefault="00933839" w:rsidP="00933839">
            <w:pPr>
              <w:jc w:val="center"/>
              <w:rPr>
                <w:sz w:val="18"/>
                <w:szCs w:val="18"/>
              </w:rPr>
            </w:pPr>
            <w:r w:rsidRPr="000A609C">
              <w:rPr>
                <w:sz w:val="18"/>
                <w:szCs w:val="18"/>
              </w:rPr>
              <w:t>£2m</w:t>
            </w:r>
          </w:p>
        </w:tc>
      </w:tr>
    </w:tbl>
    <w:p w14:paraId="24D788DA" w14:textId="3C039CFA" w:rsidR="000A609C" w:rsidRDefault="000A609C" w:rsidP="000A609C">
      <w:pPr>
        <w:tabs>
          <w:tab w:val="left" w:pos="2172"/>
        </w:tabs>
      </w:pPr>
    </w:p>
    <w:p w14:paraId="71A9E43B" w14:textId="6EBE9663" w:rsidR="000A609C" w:rsidRPr="005A3A8F" w:rsidRDefault="000A609C" w:rsidP="000A609C">
      <w:pPr>
        <w:tabs>
          <w:tab w:val="left" w:pos="2172"/>
        </w:tabs>
      </w:pPr>
      <w:r>
        <w:t xml:space="preserve">Progress towards these have been severely impacted by the outbreak of COVID-19 and the ensuing delays, however, IMIV has already created a number of benefits, which are detailed below. </w:t>
      </w:r>
    </w:p>
    <w:p w14:paraId="4CE49496" w14:textId="77777777" w:rsidR="00147227" w:rsidRDefault="00147227" w:rsidP="00F350F2">
      <w:pPr>
        <w:pStyle w:val="Heading1"/>
      </w:pPr>
      <w:r w:rsidRPr="00147227">
        <w:t>Finances</w:t>
      </w:r>
    </w:p>
    <w:p w14:paraId="434B593B" w14:textId="1E8FA3BD" w:rsidR="00147227" w:rsidRDefault="00933839" w:rsidP="00F350F2">
      <w:r>
        <w:t>Additionally, to the £1.</w:t>
      </w:r>
      <w:r w:rsidRPr="00E44502">
        <w:t xml:space="preserve">4m </w:t>
      </w:r>
      <w:r>
        <w:t xml:space="preserve">Dorset </w:t>
      </w:r>
      <w:r w:rsidRPr="00E44502">
        <w:t xml:space="preserve">LEP funding </w:t>
      </w:r>
      <w:r w:rsidR="005D0D71" w:rsidRPr="005D0D71">
        <w:t>B</w:t>
      </w:r>
      <w:r w:rsidR="005D0D71">
        <w:t xml:space="preserve">U committed to provide match-funding to the value of </w:t>
      </w:r>
      <w:r w:rsidR="005D0D71" w:rsidRPr="005D0D71">
        <w:t>£1,975,075</w:t>
      </w:r>
      <w:r>
        <w:t>, which has now been</w:t>
      </w:r>
      <w:r w:rsidR="005D0D71">
        <w:t xml:space="preserve"> increased to </w:t>
      </w:r>
      <w:r w:rsidR="005D0D71" w:rsidRPr="005D0D71">
        <w:t>£2,064,190</w:t>
      </w:r>
      <w:r w:rsidR="005D0D71">
        <w:t>.</w:t>
      </w:r>
    </w:p>
    <w:p w14:paraId="4AE97C0C" w14:textId="77777777" w:rsidR="000A609C" w:rsidRPr="00F350F2" w:rsidRDefault="000A609C" w:rsidP="00F350F2">
      <w:pPr>
        <w:rPr>
          <w:i/>
          <w:color w:val="A6A6A6" w:themeColor="background1" w:themeShade="A6"/>
        </w:rPr>
      </w:pPr>
      <w:bookmarkStart w:id="0" w:name="_GoBack"/>
      <w:bookmarkEnd w:id="0"/>
    </w:p>
    <w:p w14:paraId="29FC608E" w14:textId="2D6934E5" w:rsidR="00AE7C91" w:rsidRPr="00644228" w:rsidRDefault="00AE7C91" w:rsidP="00F350F2">
      <w:r w:rsidRPr="00AE7C91">
        <w:lastRenderedPageBreak/>
        <w:t xml:space="preserve">Savings from the procurement of the non-MRI equipment were factored into the decisions that were taken around the MRI, and helped, in part, to secure the purchase of a new scanner as opposed to the originally targeted refurbished scanner. </w:t>
      </w:r>
    </w:p>
    <w:p w14:paraId="69846FFD" w14:textId="298B0B70" w:rsidR="002E0EED" w:rsidRPr="002B337A" w:rsidRDefault="002E0EED" w:rsidP="004750F4">
      <w:pPr>
        <w:pStyle w:val="Heading1"/>
      </w:pPr>
      <w:r w:rsidRPr="002B337A">
        <w:t xml:space="preserve">Lessons </w:t>
      </w:r>
      <w:r w:rsidR="00BF4538">
        <w:t>L</w:t>
      </w:r>
      <w:r w:rsidRPr="002B337A">
        <w:t>earn</w:t>
      </w:r>
      <w:r w:rsidR="00FC5EBE">
        <w:t>t</w:t>
      </w:r>
    </w:p>
    <w:p w14:paraId="29FEE79C" w14:textId="73700D88" w:rsidR="00AE7C91" w:rsidRPr="00AE7C91" w:rsidRDefault="0084049B" w:rsidP="000A609C">
      <w:r>
        <w:t>In this new area of research for BU, m</w:t>
      </w:r>
      <w:r w:rsidR="00265D56">
        <w:t>ak</w:t>
      </w:r>
      <w:r>
        <w:t>ing</w:t>
      </w:r>
      <w:r w:rsidR="00265D56">
        <w:t xml:space="preserve"> full use of the </w:t>
      </w:r>
      <w:r w:rsidR="00AE7C91" w:rsidRPr="00AE7C91">
        <w:t xml:space="preserve">combined knowledge of the stakeholder group, advisory group and the project design team/contractor </w:t>
      </w:r>
      <w:r w:rsidR="00265D56">
        <w:t xml:space="preserve">to prepare the project brief proved to be valuable exercise. The value of broad and comprehensive </w:t>
      </w:r>
      <w:r>
        <w:t xml:space="preserve">consultation </w:t>
      </w:r>
      <w:r w:rsidR="00AE7C91" w:rsidRPr="00AE7C91">
        <w:t xml:space="preserve">was a key lesson learnt and </w:t>
      </w:r>
      <w:r w:rsidR="00265D56">
        <w:t>certainly</w:t>
      </w:r>
      <w:r w:rsidR="00265D56" w:rsidRPr="00AE7C91">
        <w:t xml:space="preserve"> </w:t>
      </w:r>
      <w:r w:rsidR="00AE7C91" w:rsidRPr="00AE7C91">
        <w:t>something that we will seek to repeat.</w:t>
      </w:r>
      <w:r w:rsidR="000A609C">
        <w:t xml:space="preserve"> </w:t>
      </w:r>
      <w:r w:rsidR="00AE7C91" w:rsidRPr="00AE7C91">
        <w:t>The decision to proceed with the MRI suite within a building that was already under construction required extensive risk management, but has proved to be a bold leadership decision and a significant achievement for both the University and the Dorset Local Enterprise Partnership.</w:t>
      </w:r>
    </w:p>
    <w:p w14:paraId="63D9AE17" w14:textId="77777777" w:rsidR="000A609C" w:rsidRDefault="000A609C" w:rsidP="000A609C"/>
    <w:p w14:paraId="33273B62" w14:textId="132A848B" w:rsidR="00AE7C91" w:rsidRPr="00AE7C91" w:rsidRDefault="00D70CD8" w:rsidP="000A609C">
      <w:r>
        <w:t>For the imaging suite (MRI and US), one</w:t>
      </w:r>
      <w:r w:rsidR="00AE7C91" w:rsidRPr="00AE7C91">
        <w:t xml:space="preserve"> of the major risks was the potential for disruption to the construction of the Bournemouth Gateway Building. This was mitigated through the collaborative working by the Siemens </w:t>
      </w:r>
      <w:r w:rsidR="00585A09">
        <w:t xml:space="preserve">(MRI scanner manufacturer) </w:t>
      </w:r>
      <w:r w:rsidR="00AE7C91" w:rsidRPr="00AE7C91">
        <w:t xml:space="preserve">design team, BGB’s design team, </w:t>
      </w:r>
      <w:proofErr w:type="gramStart"/>
      <w:r w:rsidR="00AE7C91" w:rsidRPr="00AE7C91">
        <w:t>Kier</w:t>
      </w:r>
      <w:proofErr w:type="gramEnd"/>
      <w:r w:rsidR="00585A09">
        <w:t xml:space="preserve"> (BGB site contractor)</w:t>
      </w:r>
      <w:r w:rsidR="00AE7C91" w:rsidRPr="00AE7C91">
        <w:t xml:space="preserve">, </w:t>
      </w:r>
      <w:proofErr w:type="spellStart"/>
      <w:r w:rsidR="00AE7C91" w:rsidRPr="00AE7C91">
        <w:t>Kier</w:t>
      </w:r>
      <w:r w:rsidR="00E908B0">
        <w:t>’</w:t>
      </w:r>
      <w:r w:rsidR="00AE7C91" w:rsidRPr="00AE7C91">
        <w:t>s</w:t>
      </w:r>
      <w:proofErr w:type="spellEnd"/>
      <w:r w:rsidR="00AE7C91" w:rsidRPr="00AE7C91">
        <w:t xml:space="preserve"> supply chain and University stakeholders/specialists. A milestone in this collaboration was the preparation of a feasibility study which examined each impact on BGB and the mitigation strategies that would need to be developed to achieve the desired outcome.</w:t>
      </w:r>
    </w:p>
    <w:p w14:paraId="0986FC36" w14:textId="77777777" w:rsidR="008B181C" w:rsidRDefault="00BF4538" w:rsidP="004750F4">
      <w:pPr>
        <w:pStyle w:val="Heading1"/>
      </w:pPr>
      <w:r>
        <w:t xml:space="preserve">Success Story </w:t>
      </w:r>
    </w:p>
    <w:p w14:paraId="4F93A012" w14:textId="2CC4154A" w:rsidR="00FF5763" w:rsidRDefault="008B181C" w:rsidP="008B181C">
      <w:r>
        <w:t>Although</w:t>
      </w:r>
      <w:r w:rsidR="005F1AC1">
        <w:t>,</w:t>
      </w:r>
      <w:r>
        <w:t xml:space="preserve"> at the time of writing, the operationalisation of IMIV is severely impacted by the outbreak of COVID-19; the </w:t>
      </w:r>
      <w:r w:rsidR="00E26CDC">
        <w:t>I</w:t>
      </w:r>
      <w:r>
        <w:t xml:space="preserve">nstitute already offers a demonstrable success for Dorset. The purchase of the equipment and </w:t>
      </w:r>
      <w:r w:rsidR="005F1AC1">
        <w:t>establishing the</w:t>
      </w:r>
      <w:r>
        <w:t xml:space="preserve"> IMIV has garnered engag</w:t>
      </w:r>
      <w:r w:rsidR="004D1E97">
        <w:t>ement across the region</w:t>
      </w:r>
      <w:r>
        <w:t>, UK and globally</w:t>
      </w:r>
      <w:r w:rsidR="00D4620D">
        <w:t xml:space="preserve">, </w:t>
      </w:r>
      <w:r>
        <w:t>with the facilities and potential that it offer</w:t>
      </w:r>
      <w:r w:rsidR="004D1E97">
        <w:t>s</w:t>
      </w:r>
      <w:r>
        <w:t xml:space="preserve">. It has enabled Bournemouth University to recruit a dedicated, world class team of scientists and associated staff (including the Head of Institute, </w:t>
      </w:r>
      <w:r w:rsidR="00A84DDA">
        <w:t>C</w:t>
      </w:r>
      <w:r>
        <w:t xml:space="preserve">entre </w:t>
      </w:r>
      <w:r w:rsidR="00A84DDA">
        <w:t>M</w:t>
      </w:r>
      <w:r>
        <w:t xml:space="preserve">anager, </w:t>
      </w:r>
      <w:r w:rsidR="00A84DDA">
        <w:t>S</w:t>
      </w:r>
      <w:r>
        <w:t xml:space="preserve">enior </w:t>
      </w:r>
      <w:r w:rsidR="00A84DDA">
        <w:t>L</w:t>
      </w:r>
      <w:r>
        <w:t xml:space="preserve">ecturer in </w:t>
      </w:r>
      <w:r w:rsidR="00A84DDA">
        <w:t>R</w:t>
      </w:r>
      <w:r>
        <w:t xml:space="preserve">adiography and dedicated </w:t>
      </w:r>
      <w:r w:rsidR="00A84DDA">
        <w:t>Institute</w:t>
      </w:r>
      <w:r>
        <w:t xml:space="preserve"> </w:t>
      </w:r>
      <w:r w:rsidR="00A84DDA">
        <w:t>A</w:t>
      </w:r>
      <w:r>
        <w:t>dministrator</w:t>
      </w:r>
      <w:r w:rsidR="00D4620D">
        <w:t>,</w:t>
      </w:r>
      <w:r w:rsidR="007A1A8E">
        <w:t xml:space="preserve"> with </w:t>
      </w:r>
      <w:r w:rsidR="008A4CB8">
        <w:t>further research</w:t>
      </w:r>
      <w:r w:rsidR="00D4620D">
        <w:t xml:space="preserve"> and operational</w:t>
      </w:r>
      <w:r w:rsidR="008A4CB8">
        <w:t xml:space="preserve"> staff in </w:t>
      </w:r>
      <w:r w:rsidR="00D4620D">
        <w:t xml:space="preserve">the process of </w:t>
      </w:r>
      <w:r w:rsidR="008A4CB8">
        <w:t>recruitment</w:t>
      </w:r>
      <w:r>
        <w:t xml:space="preserve">). In turn, this has led to the advancement of science in the area (detailed by the leading publications already produced) and the creation of pioneering new courses in medical </w:t>
      </w:r>
      <w:r w:rsidR="00710F58">
        <w:t>imaging</w:t>
      </w:r>
      <w:r>
        <w:t xml:space="preserve"> (including the MSc in Medical Imaging &amp; Management). </w:t>
      </w:r>
    </w:p>
    <w:p w14:paraId="3DF8370F" w14:textId="77777777" w:rsidR="008B181C" w:rsidRDefault="008B181C" w:rsidP="008B181C"/>
    <w:p w14:paraId="4C3828F1" w14:textId="4D2D2B10" w:rsidR="00D87D89" w:rsidRDefault="008B181C" w:rsidP="008B181C">
      <w:r>
        <w:t>Furthermore, it has centred and established dynamic new collaborations across Dorset, and beyond. This includes</w:t>
      </w:r>
      <w:r w:rsidR="007A1A8E">
        <w:t xml:space="preserve"> collaboration across Bournemouth University – in particular the world leading National Centre for Computer Animation (NCCA) and department for Creative Technology. </w:t>
      </w:r>
      <w:r w:rsidR="00D87D89">
        <w:t xml:space="preserve">The University has also focused recruitment strategy in other </w:t>
      </w:r>
      <w:r w:rsidR="00664FE8">
        <w:t xml:space="preserve">Faculties </w:t>
      </w:r>
      <w:r w:rsidR="00D87D89">
        <w:t xml:space="preserve">to recruit leading academics in aligned disciplinary areas, including a Professor of Neuroscience and a Senior Lecturer in Medical Image </w:t>
      </w:r>
      <w:r w:rsidR="00D87D89">
        <w:lastRenderedPageBreak/>
        <w:t>Analysis and Machine Learning</w:t>
      </w:r>
      <w:r w:rsidR="00664FE8">
        <w:t xml:space="preserve"> – a strategic </w:t>
      </w:r>
      <w:r w:rsidR="00D87D89">
        <w:t>trajectory the institut</w:t>
      </w:r>
      <w:r w:rsidR="00664FE8">
        <w:t>ion</w:t>
      </w:r>
      <w:r w:rsidR="00D87D89">
        <w:t xml:space="preserve"> plans to continue. </w:t>
      </w:r>
    </w:p>
    <w:p w14:paraId="647A04A8" w14:textId="77777777" w:rsidR="00D87D89" w:rsidRDefault="00D87D89" w:rsidP="008B181C"/>
    <w:p w14:paraId="0D53D7FD" w14:textId="21877401" w:rsidR="008A4CB8" w:rsidRDefault="007A1A8E" w:rsidP="008B181C">
      <w:r>
        <w:t xml:space="preserve">Beyond the University, it has advanced partnerships with the regional NHS trusts, which is laying the foundation for </w:t>
      </w:r>
      <w:r w:rsidR="00D4620D">
        <w:t>clinical collaboration and research partnerships,</w:t>
      </w:r>
      <w:r>
        <w:t xml:space="preserve"> and ensuring the necessary skills development can be delivered within Dorset. </w:t>
      </w:r>
      <w:r w:rsidR="008A4CB8">
        <w:t>This partnership development continues at pace, and includes – for example – targeted collaboration with partners in China.</w:t>
      </w:r>
    </w:p>
    <w:p w14:paraId="46BA2FDC" w14:textId="77777777" w:rsidR="008A4CB8" w:rsidRDefault="008A4CB8" w:rsidP="008B181C"/>
    <w:p w14:paraId="766507FF" w14:textId="79718D86" w:rsidR="008B181C" w:rsidRDefault="007A1A8E" w:rsidP="008B181C">
      <w:r>
        <w:t xml:space="preserve">Access to the facilities which </w:t>
      </w:r>
      <w:r w:rsidR="005A3799">
        <w:t xml:space="preserve">the </w:t>
      </w:r>
      <w:r>
        <w:t xml:space="preserve">IMIV </w:t>
      </w:r>
      <w:r w:rsidR="00D4620D">
        <w:t xml:space="preserve">will </w:t>
      </w:r>
      <w:r>
        <w:t>offer</w:t>
      </w:r>
      <w:r w:rsidR="005A3799">
        <w:t xml:space="preserve"> </w:t>
      </w:r>
      <w:r>
        <w:t xml:space="preserve">is supporting the retention of research active </w:t>
      </w:r>
      <w:r w:rsidR="008A4CB8">
        <w:t xml:space="preserve">clinical </w:t>
      </w:r>
      <w:r>
        <w:t xml:space="preserve">staff within </w:t>
      </w:r>
      <w:r w:rsidR="008A4CB8">
        <w:t>Dorset</w:t>
      </w:r>
      <w:r>
        <w:t xml:space="preserve">. These collaborations will leverage public, private and third sector investment to the </w:t>
      </w:r>
      <w:r w:rsidR="00D4620D">
        <w:t xml:space="preserve">region </w:t>
      </w:r>
      <w:r>
        <w:t>as IMIV becomes operational</w:t>
      </w:r>
      <w:r w:rsidR="00A84DDA">
        <w:t>, and is expected to l</w:t>
      </w:r>
      <w:r>
        <w:t xml:space="preserve">ead to </w:t>
      </w:r>
      <w:r w:rsidR="008A4CB8">
        <w:t>commercial growth</w:t>
      </w:r>
      <w:r w:rsidR="00A84DDA">
        <w:t xml:space="preserve"> opportunities</w:t>
      </w:r>
      <w:r w:rsidR="008A4CB8">
        <w:t xml:space="preserve">. The </w:t>
      </w:r>
      <w:r w:rsidR="00A84DDA">
        <w:t>C</w:t>
      </w:r>
      <w:r w:rsidR="008A4CB8">
        <w:t xml:space="preserve">entre </w:t>
      </w:r>
      <w:r w:rsidR="00A84DDA">
        <w:t>M</w:t>
      </w:r>
      <w:r w:rsidR="008A4CB8">
        <w:t xml:space="preserve">anager appointed has extensive experience of developing commercial opportunities and IMIV has already been approached by myriad interested parties including SMEs and premiership football teams. </w:t>
      </w:r>
    </w:p>
    <w:p w14:paraId="55C4D73E" w14:textId="77777777" w:rsidR="008A4CB8" w:rsidRDefault="008A4CB8" w:rsidP="008B181C"/>
    <w:p w14:paraId="7B824979" w14:textId="5FB045D3" w:rsidR="008A4CB8" w:rsidRDefault="008A4CB8" w:rsidP="008B181C">
      <w:r>
        <w:t xml:space="preserve">The funding to create IMIV has delivered an exceptional opportunity for Dorset and is already </w:t>
      </w:r>
      <w:r w:rsidR="00DB396B">
        <w:t>delivering</w:t>
      </w:r>
      <w:r>
        <w:t xml:space="preserve"> with respect to creating a world </w:t>
      </w:r>
      <w:r w:rsidR="00DB396B">
        <w:t xml:space="preserve">leading research team and new educational programmes. It is also enabling the creation of partnerships around the world to further the knowledge base, skills and economic growth in Dorset. Further to the impacts of COVID-19 being mitigated, the fully operationalised IMIV is set to deliver a step change in medical imaging and visualisation, and with it, growth for Dorset in this critical area for societal advancement. </w:t>
      </w:r>
    </w:p>
    <w:p w14:paraId="3735EC78" w14:textId="4AC256CB" w:rsidR="00BA2D77" w:rsidRPr="007A1A8E" w:rsidRDefault="002134E0" w:rsidP="00BA2D77">
      <w:pPr>
        <w:pStyle w:val="NoSpacing"/>
        <w:spacing w:line="276" w:lineRule="auto"/>
        <w:rPr>
          <w:rFonts w:ascii="Century Gothic" w:hAnsi="Century Gothic"/>
          <w:sz w:val="20"/>
          <w:szCs w:val="20"/>
          <w:u w:val="single"/>
        </w:rPr>
      </w:pPr>
      <w:r w:rsidRPr="007A1A8E">
        <w:rPr>
          <w:rFonts w:ascii="Century Gothic" w:hAnsi="Century Gothic"/>
          <w:sz w:val="20"/>
          <w:szCs w:val="20"/>
          <w:u w:val="single"/>
        </w:rPr>
        <w:t>Construction contractors are</w:t>
      </w:r>
      <w:r w:rsidR="000A609C" w:rsidRPr="007A1A8E">
        <w:rPr>
          <w:rFonts w:ascii="Century Gothic" w:hAnsi="Century Gothic"/>
          <w:sz w:val="20"/>
          <w:szCs w:val="20"/>
          <w:u w:val="single"/>
        </w:rPr>
        <w:t xml:space="preserve">: </w:t>
      </w:r>
      <w:r w:rsidRPr="007A1A8E">
        <w:rPr>
          <w:rFonts w:ascii="Century Gothic" w:hAnsi="Century Gothic"/>
          <w:sz w:val="20"/>
          <w:szCs w:val="20"/>
          <w:u w:val="single"/>
        </w:rPr>
        <w:t xml:space="preserve"> </w:t>
      </w:r>
    </w:p>
    <w:p w14:paraId="1B2A7CCE" w14:textId="77777777" w:rsidR="00AE7C91" w:rsidRDefault="00AE7C91" w:rsidP="0008311C">
      <w:pPr>
        <w:pStyle w:val="NoSpacing"/>
        <w:spacing w:line="276" w:lineRule="auto"/>
        <w:jc w:val="center"/>
        <w:rPr>
          <w:rFonts w:ascii="Century Gothic" w:hAnsi="Century Gothic"/>
          <w:b/>
          <w:sz w:val="20"/>
          <w:szCs w:val="20"/>
        </w:rPr>
      </w:pPr>
    </w:p>
    <w:tbl>
      <w:tblPr>
        <w:tblStyle w:val="TableGrid6"/>
        <w:tblW w:w="0" w:type="auto"/>
        <w:tblLook w:val="04A0" w:firstRow="1" w:lastRow="0" w:firstColumn="1" w:lastColumn="0" w:noHBand="0" w:noVBand="1"/>
      </w:tblPr>
      <w:tblGrid>
        <w:gridCol w:w="3643"/>
        <w:gridCol w:w="5373"/>
      </w:tblGrid>
      <w:tr w:rsidR="00AE7C91" w:rsidRPr="00DD5818" w14:paraId="5678A721" w14:textId="77777777" w:rsidTr="00C540DB">
        <w:trPr>
          <w:trHeight w:val="1647"/>
        </w:trPr>
        <w:tc>
          <w:tcPr>
            <w:tcW w:w="4621" w:type="dxa"/>
          </w:tcPr>
          <w:p w14:paraId="4D81F75F" w14:textId="77777777" w:rsidR="00DD5818" w:rsidRPr="00DD5818" w:rsidRDefault="00DD5818" w:rsidP="004750F4">
            <w:r w:rsidRPr="00DD5818">
              <w:t xml:space="preserve">Dorset LEP </w:t>
            </w:r>
          </w:p>
          <w:p w14:paraId="0DFBD3C0" w14:textId="77777777" w:rsidR="00DD5818" w:rsidRPr="00DD5818" w:rsidRDefault="00DD5818" w:rsidP="004750F4"/>
          <w:p w14:paraId="10F7373B" w14:textId="3D514774" w:rsidR="00DD5818" w:rsidRPr="00DD5818" w:rsidRDefault="00DD5818" w:rsidP="004750F4">
            <w:r w:rsidRPr="00DD5818">
              <w:t>Daniela Doncakova</w:t>
            </w:r>
            <w:r>
              <w:t>, Programme Manager</w:t>
            </w:r>
          </w:p>
          <w:p w14:paraId="770E9B09" w14:textId="77777777" w:rsidR="00DD5818" w:rsidRPr="00DD5818" w:rsidRDefault="00CF3AAB" w:rsidP="004750F4">
            <w:pPr>
              <w:rPr>
                <w:sz w:val="20"/>
                <w:szCs w:val="20"/>
              </w:rPr>
            </w:pPr>
            <w:hyperlink r:id="rId13" w:history="1">
              <w:r w:rsidR="00DD5818" w:rsidRPr="00DD5818">
                <w:rPr>
                  <w:color w:val="0000FF" w:themeColor="hyperlink"/>
                  <w:sz w:val="20"/>
                  <w:szCs w:val="20"/>
                  <w:u w:val="single"/>
                </w:rPr>
                <w:t>ddoncakova@bournemouth.ac.uk</w:t>
              </w:r>
            </w:hyperlink>
          </w:p>
          <w:p w14:paraId="065EA8DA" w14:textId="77777777" w:rsidR="00DD5818" w:rsidRPr="00DD5818" w:rsidRDefault="00DD5818" w:rsidP="004750F4">
            <w:r w:rsidRPr="00DD5818">
              <w:t>Tel: 01202 962717</w:t>
            </w:r>
          </w:p>
          <w:p w14:paraId="78805AFB" w14:textId="0906D656" w:rsidR="00DD5818" w:rsidRPr="00DD5818" w:rsidRDefault="00CF3AAB" w:rsidP="004750F4">
            <w:pPr>
              <w:rPr>
                <w:color w:val="0000FF" w:themeColor="hyperlink"/>
                <w:u w:val="single"/>
              </w:rPr>
            </w:pPr>
            <w:hyperlink r:id="rId14" w:history="1">
              <w:r w:rsidR="00DD5818" w:rsidRPr="00DD5818">
                <w:rPr>
                  <w:color w:val="0000FF" w:themeColor="hyperlink"/>
                  <w:sz w:val="20"/>
                  <w:szCs w:val="20"/>
                  <w:u w:val="single"/>
                </w:rPr>
                <w:t>https://www.dorsetlep.co.uk/institute-for-MI-and-visualisation</w:t>
              </w:r>
            </w:hyperlink>
          </w:p>
        </w:tc>
        <w:tc>
          <w:tcPr>
            <w:tcW w:w="4621" w:type="dxa"/>
          </w:tcPr>
          <w:p w14:paraId="01DD9F22" w14:textId="59E7D48C" w:rsidR="00DD5818" w:rsidRDefault="005D3775" w:rsidP="004750F4">
            <w:r>
              <w:t>Bournemouth University</w:t>
            </w:r>
          </w:p>
          <w:p w14:paraId="57AD0A03" w14:textId="77777777" w:rsidR="00DD5818" w:rsidRPr="00DD5818" w:rsidRDefault="00DD5818" w:rsidP="004750F4"/>
          <w:p w14:paraId="4883CB36" w14:textId="78E61D90" w:rsidR="00DD5818" w:rsidRDefault="000A609C" w:rsidP="000A609C">
            <w:r>
              <w:t>Professor Stephen Tee, Executive Dean, Faculty of Health &amp; Social Sciences</w:t>
            </w:r>
          </w:p>
          <w:p w14:paraId="2F09071D" w14:textId="39312636" w:rsidR="000A609C" w:rsidRDefault="00CF3AAB" w:rsidP="000A609C">
            <w:hyperlink r:id="rId15" w:history="1">
              <w:r w:rsidR="000A609C" w:rsidRPr="00EA19F7">
                <w:rPr>
                  <w:rStyle w:val="Hyperlink"/>
                </w:rPr>
                <w:t>stee@bournemouth.ac.uk</w:t>
              </w:r>
            </w:hyperlink>
          </w:p>
          <w:p w14:paraId="0317AE23" w14:textId="6538B0F4" w:rsidR="00DD5818" w:rsidRDefault="00DD5818" w:rsidP="004750F4">
            <w:r w:rsidRPr="00DD5818">
              <w:t xml:space="preserve">Tel: </w:t>
            </w:r>
            <w:r w:rsidR="000A609C">
              <w:t>01202 962114</w:t>
            </w:r>
          </w:p>
          <w:p w14:paraId="3E802E2F" w14:textId="401DB2F4" w:rsidR="00DD5818" w:rsidRPr="00DD5818" w:rsidRDefault="00CF3AAB" w:rsidP="004750F4">
            <w:hyperlink r:id="rId16" w:history="1">
              <w:r w:rsidR="000A609C">
                <w:rPr>
                  <w:rStyle w:val="Hyperlink"/>
                </w:rPr>
                <w:t>https://www.bournemouth.ac.uk/research/centres-institutes/institute-medical-imaging-visualisation</w:t>
              </w:r>
            </w:hyperlink>
          </w:p>
        </w:tc>
      </w:tr>
    </w:tbl>
    <w:p w14:paraId="49722F0B" w14:textId="77777777" w:rsidR="00E71BD2" w:rsidRDefault="00E71BD2" w:rsidP="000A609C">
      <w:pPr>
        <w:pStyle w:val="NoSpacing"/>
        <w:spacing w:line="276" w:lineRule="auto"/>
        <w:rPr>
          <w:rFonts w:ascii="Century Gothic" w:hAnsi="Century Gothic"/>
          <w:b/>
          <w:sz w:val="20"/>
          <w:szCs w:val="20"/>
        </w:rPr>
      </w:pPr>
    </w:p>
    <w:sectPr w:rsidR="00E71BD2" w:rsidSect="00CC3410">
      <w:headerReference w:type="default" r:id="rId17"/>
      <w:head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1A98" w14:textId="77777777" w:rsidR="00CF3AAB" w:rsidRDefault="00CF3AAB" w:rsidP="004750F4">
      <w:r>
        <w:separator/>
      </w:r>
    </w:p>
  </w:endnote>
  <w:endnote w:type="continuationSeparator" w:id="0">
    <w:p w14:paraId="41371A43" w14:textId="77777777" w:rsidR="00CF3AAB" w:rsidRDefault="00CF3AAB" w:rsidP="0047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D382" w14:textId="77777777" w:rsidR="00CF3AAB" w:rsidRDefault="00CF3AAB" w:rsidP="004750F4">
      <w:r>
        <w:separator/>
      </w:r>
    </w:p>
  </w:footnote>
  <w:footnote w:type="continuationSeparator" w:id="0">
    <w:p w14:paraId="7C01F14B" w14:textId="77777777" w:rsidR="00CF3AAB" w:rsidRDefault="00CF3AAB" w:rsidP="004750F4">
      <w:r>
        <w:continuationSeparator/>
      </w:r>
    </w:p>
  </w:footnote>
  <w:footnote w:id="1">
    <w:p w14:paraId="1E9757CF" w14:textId="12A14452" w:rsidR="0073792F" w:rsidRDefault="0073792F">
      <w:pPr>
        <w:pStyle w:val="FootnoteText"/>
      </w:pPr>
      <w:r>
        <w:rPr>
          <w:rStyle w:val="FootnoteReference"/>
        </w:rPr>
        <w:footnoteRef/>
      </w:r>
      <w:r>
        <w:t xml:space="preserve"> Depending on the on-going impact of COVID-19.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38094"/>
      <w:docPartObj>
        <w:docPartGallery w:val="Page Numbers (Top of Page)"/>
        <w:docPartUnique/>
      </w:docPartObj>
    </w:sdtPr>
    <w:sdtEndPr>
      <w:rPr>
        <w:noProof/>
      </w:rPr>
    </w:sdtEndPr>
    <w:sdtContent>
      <w:sdt>
        <w:sdtPr>
          <w:id w:val="-1521701087"/>
          <w:docPartObj>
            <w:docPartGallery w:val="Page Numbers (Top of Page)"/>
            <w:docPartUnique/>
          </w:docPartObj>
        </w:sdtPr>
        <w:sdtEndPr/>
        <w:sdtContent>
          <w:p w14:paraId="1287666D" w14:textId="5E40E1FE" w:rsidR="00BF4538" w:rsidRPr="00281488" w:rsidRDefault="00BF4538" w:rsidP="004750F4">
            <w:pPr>
              <w:pStyle w:val="Header"/>
            </w:pPr>
            <w:r>
              <w:t xml:space="preserve">Page </w:t>
            </w:r>
            <w:r>
              <w:rPr>
                <w:sz w:val="24"/>
                <w:szCs w:val="24"/>
              </w:rPr>
              <w:fldChar w:fldCharType="begin"/>
            </w:r>
            <w:r>
              <w:instrText xml:space="preserve"> PAGE </w:instrText>
            </w:r>
            <w:r>
              <w:rPr>
                <w:sz w:val="24"/>
                <w:szCs w:val="24"/>
              </w:rPr>
              <w:fldChar w:fldCharType="separate"/>
            </w:r>
            <w:r w:rsidR="006F4B7C">
              <w:rPr>
                <w:noProof/>
              </w:rPr>
              <w:t>6</w:t>
            </w:r>
            <w:r>
              <w:rPr>
                <w:sz w:val="24"/>
                <w:szCs w:val="24"/>
              </w:rPr>
              <w:fldChar w:fldCharType="end"/>
            </w:r>
            <w:r>
              <w:t xml:space="preserve"> of </w:t>
            </w:r>
            <w:fldSimple w:instr=" NUMPAGES  ">
              <w:r w:rsidR="006F4B7C">
                <w:rPr>
                  <w:noProof/>
                </w:rPr>
                <w:t>6</w:t>
              </w:r>
            </w:fldSimple>
          </w:p>
        </w:sdtContent>
      </w:sdt>
    </w:sdtContent>
  </w:sdt>
  <w:p w14:paraId="6F71277B" w14:textId="77777777" w:rsidR="00BF4538" w:rsidRDefault="00BF4538" w:rsidP="004750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14:paraId="401247EC" w14:textId="77777777" w:rsidR="00BF4538" w:rsidRDefault="00BF4538" w:rsidP="004750F4">
        <w:pPr>
          <w:pStyle w:val="Header"/>
        </w:pP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fldSimple w:instr=" NUMPAGES  ">
          <w:r>
            <w:rPr>
              <w:noProof/>
            </w:rPr>
            <w:t>1</w:t>
          </w:r>
        </w:fldSimple>
      </w:p>
    </w:sdtContent>
  </w:sdt>
  <w:p w14:paraId="185E0340" w14:textId="77777777" w:rsidR="00BF4538" w:rsidRDefault="00BF4538" w:rsidP="004750F4">
    <w:pPr>
      <w:pStyle w:val="Header"/>
    </w:pPr>
  </w:p>
  <w:p w14:paraId="69AF71E8" w14:textId="77777777" w:rsidR="00BF4538" w:rsidRDefault="00BF4538" w:rsidP="004750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BB3"/>
    <w:multiLevelType w:val="hybridMultilevel"/>
    <w:tmpl w:val="F77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E2BFB"/>
    <w:multiLevelType w:val="hybridMultilevel"/>
    <w:tmpl w:val="CAF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3BD4"/>
    <w:multiLevelType w:val="hybridMultilevel"/>
    <w:tmpl w:val="ECC4D090"/>
    <w:lvl w:ilvl="0" w:tplc="B8F07848">
      <w:start w:val="1"/>
      <w:numFmt w:val="bullet"/>
      <w:lvlText w:val="–"/>
      <w:lvlJc w:val="left"/>
      <w:pPr>
        <w:tabs>
          <w:tab w:val="num" w:pos="720"/>
        </w:tabs>
        <w:ind w:left="720" w:hanging="360"/>
      </w:pPr>
      <w:rPr>
        <w:rFonts w:ascii="Trebuchet MS" w:hAnsi="Trebuchet MS" w:hint="default"/>
      </w:rPr>
    </w:lvl>
    <w:lvl w:ilvl="1" w:tplc="082A6CD6">
      <w:start w:val="1"/>
      <w:numFmt w:val="bullet"/>
      <w:lvlText w:val="–"/>
      <w:lvlJc w:val="left"/>
      <w:pPr>
        <w:tabs>
          <w:tab w:val="num" w:pos="1440"/>
        </w:tabs>
        <w:ind w:left="1440" w:hanging="360"/>
      </w:pPr>
      <w:rPr>
        <w:rFonts w:ascii="Trebuchet MS" w:hAnsi="Trebuchet MS" w:hint="default"/>
      </w:rPr>
    </w:lvl>
    <w:lvl w:ilvl="2" w:tplc="ED86ED4A" w:tentative="1">
      <w:start w:val="1"/>
      <w:numFmt w:val="bullet"/>
      <w:lvlText w:val="–"/>
      <w:lvlJc w:val="left"/>
      <w:pPr>
        <w:tabs>
          <w:tab w:val="num" w:pos="2160"/>
        </w:tabs>
        <w:ind w:left="2160" w:hanging="360"/>
      </w:pPr>
      <w:rPr>
        <w:rFonts w:ascii="Trebuchet MS" w:hAnsi="Trebuchet MS" w:hint="default"/>
      </w:rPr>
    </w:lvl>
    <w:lvl w:ilvl="3" w:tplc="EAC2D164" w:tentative="1">
      <w:start w:val="1"/>
      <w:numFmt w:val="bullet"/>
      <w:lvlText w:val="–"/>
      <w:lvlJc w:val="left"/>
      <w:pPr>
        <w:tabs>
          <w:tab w:val="num" w:pos="2880"/>
        </w:tabs>
        <w:ind w:left="2880" w:hanging="360"/>
      </w:pPr>
      <w:rPr>
        <w:rFonts w:ascii="Trebuchet MS" w:hAnsi="Trebuchet MS" w:hint="default"/>
      </w:rPr>
    </w:lvl>
    <w:lvl w:ilvl="4" w:tplc="A8C03D4C" w:tentative="1">
      <w:start w:val="1"/>
      <w:numFmt w:val="bullet"/>
      <w:lvlText w:val="–"/>
      <w:lvlJc w:val="left"/>
      <w:pPr>
        <w:tabs>
          <w:tab w:val="num" w:pos="3600"/>
        </w:tabs>
        <w:ind w:left="3600" w:hanging="360"/>
      </w:pPr>
      <w:rPr>
        <w:rFonts w:ascii="Trebuchet MS" w:hAnsi="Trebuchet MS" w:hint="default"/>
      </w:rPr>
    </w:lvl>
    <w:lvl w:ilvl="5" w:tplc="0F7EC5B6" w:tentative="1">
      <w:start w:val="1"/>
      <w:numFmt w:val="bullet"/>
      <w:lvlText w:val="–"/>
      <w:lvlJc w:val="left"/>
      <w:pPr>
        <w:tabs>
          <w:tab w:val="num" w:pos="4320"/>
        </w:tabs>
        <w:ind w:left="4320" w:hanging="360"/>
      </w:pPr>
      <w:rPr>
        <w:rFonts w:ascii="Trebuchet MS" w:hAnsi="Trebuchet MS" w:hint="default"/>
      </w:rPr>
    </w:lvl>
    <w:lvl w:ilvl="6" w:tplc="7D045F14" w:tentative="1">
      <w:start w:val="1"/>
      <w:numFmt w:val="bullet"/>
      <w:lvlText w:val="–"/>
      <w:lvlJc w:val="left"/>
      <w:pPr>
        <w:tabs>
          <w:tab w:val="num" w:pos="5040"/>
        </w:tabs>
        <w:ind w:left="5040" w:hanging="360"/>
      </w:pPr>
      <w:rPr>
        <w:rFonts w:ascii="Trebuchet MS" w:hAnsi="Trebuchet MS" w:hint="default"/>
      </w:rPr>
    </w:lvl>
    <w:lvl w:ilvl="7" w:tplc="F22622D8" w:tentative="1">
      <w:start w:val="1"/>
      <w:numFmt w:val="bullet"/>
      <w:lvlText w:val="–"/>
      <w:lvlJc w:val="left"/>
      <w:pPr>
        <w:tabs>
          <w:tab w:val="num" w:pos="5760"/>
        </w:tabs>
        <w:ind w:left="5760" w:hanging="360"/>
      </w:pPr>
      <w:rPr>
        <w:rFonts w:ascii="Trebuchet MS" w:hAnsi="Trebuchet MS" w:hint="default"/>
      </w:rPr>
    </w:lvl>
    <w:lvl w:ilvl="8" w:tplc="417A59AA" w:tentative="1">
      <w:start w:val="1"/>
      <w:numFmt w:val="bullet"/>
      <w:lvlText w:val="–"/>
      <w:lvlJc w:val="left"/>
      <w:pPr>
        <w:tabs>
          <w:tab w:val="num" w:pos="6480"/>
        </w:tabs>
        <w:ind w:left="6480" w:hanging="360"/>
      </w:pPr>
      <w:rPr>
        <w:rFonts w:ascii="Trebuchet MS" w:hAnsi="Trebuchet MS" w:hint="default"/>
      </w:rPr>
    </w:lvl>
  </w:abstractNum>
  <w:abstractNum w:abstractNumId="3" w15:restartNumberingAfterBreak="0">
    <w:nsid w:val="077F4167"/>
    <w:multiLevelType w:val="hybridMultilevel"/>
    <w:tmpl w:val="81D66420"/>
    <w:lvl w:ilvl="0" w:tplc="F892BF3E">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E373E"/>
    <w:multiLevelType w:val="hybridMultilevel"/>
    <w:tmpl w:val="2D3A98D4"/>
    <w:lvl w:ilvl="0" w:tplc="994432E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532A"/>
    <w:multiLevelType w:val="hybridMultilevel"/>
    <w:tmpl w:val="5EE87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6057C"/>
    <w:multiLevelType w:val="multilevel"/>
    <w:tmpl w:val="289C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D5607"/>
    <w:multiLevelType w:val="hybridMultilevel"/>
    <w:tmpl w:val="A4B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240B3"/>
    <w:multiLevelType w:val="hybridMultilevel"/>
    <w:tmpl w:val="CDC0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12312"/>
    <w:multiLevelType w:val="hybridMultilevel"/>
    <w:tmpl w:val="282694AE"/>
    <w:lvl w:ilvl="0" w:tplc="5F06D9F2">
      <w:start w:val="1"/>
      <w:numFmt w:val="bullet"/>
      <w:lvlText w:val="•"/>
      <w:lvlJc w:val="left"/>
      <w:pPr>
        <w:tabs>
          <w:tab w:val="num" w:pos="720"/>
        </w:tabs>
        <w:ind w:left="720" w:hanging="360"/>
      </w:pPr>
      <w:rPr>
        <w:rFonts w:ascii="Arial" w:hAnsi="Arial" w:hint="default"/>
      </w:rPr>
    </w:lvl>
    <w:lvl w:ilvl="1" w:tplc="9A6E10CE">
      <w:start w:val="1466"/>
      <w:numFmt w:val="bullet"/>
      <w:lvlText w:val="–"/>
      <w:lvlJc w:val="left"/>
      <w:pPr>
        <w:tabs>
          <w:tab w:val="num" w:pos="1440"/>
        </w:tabs>
        <w:ind w:left="1440" w:hanging="360"/>
      </w:pPr>
      <w:rPr>
        <w:rFonts w:ascii="Calibri" w:hAnsi="Calibri" w:hint="default"/>
      </w:rPr>
    </w:lvl>
    <w:lvl w:ilvl="2" w:tplc="1F2671D4" w:tentative="1">
      <w:start w:val="1"/>
      <w:numFmt w:val="bullet"/>
      <w:lvlText w:val="•"/>
      <w:lvlJc w:val="left"/>
      <w:pPr>
        <w:tabs>
          <w:tab w:val="num" w:pos="2160"/>
        </w:tabs>
        <w:ind w:left="2160" w:hanging="360"/>
      </w:pPr>
      <w:rPr>
        <w:rFonts w:ascii="Arial" w:hAnsi="Arial" w:hint="default"/>
      </w:rPr>
    </w:lvl>
    <w:lvl w:ilvl="3" w:tplc="54EEA1E2" w:tentative="1">
      <w:start w:val="1"/>
      <w:numFmt w:val="bullet"/>
      <w:lvlText w:val="•"/>
      <w:lvlJc w:val="left"/>
      <w:pPr>
        <w:tabs>
          <w:tab w:val="num" w:pos="2880"/>
        </w:tabs>
        <w:ind w:left="2880" w:hanging="360"/>
      </w:pPr>
      <w:rPr>
        <w:rFonts w:ascii="Arial" w:hAnsi="Arial" w:hint="default"/>
      </w:rPr>
    </w:lvl>
    <w:lvl w:ilvl="4" w:tplc="FA7CF5EC" w:tentative="1">
      <w:start w:val="1"/>
      <w:numFmt w:val="bullet"/>
      <w:lvlText w:val="•"/>
      <w:lvlJc w:val="left"/>
      <w:pPr>
        <w:tabs>
          <w:tab w:val="num" w:pos="3600"/>
        </w:tabs>
        <w:ind w:left="3600" w:hanging="360"/>
      </w:pPr>
      <w:rPr>
        <w:rFonts w:ascii="Arial" w:hAnsi="Arial" w:hint="default"/>
      </w:rPr>
    </w:lvl>
    <w:lvl w:ilvl="5" w:tplc="DFDA52D4" w:tentative="1">
      <w:start w:val="1"/>
      <w:numFmt w:val="bullet"/>
      <w:lvlText w:val="•"/>
      <w:lvlJc w:val="left"/>
      <w:pPr>
        <w:tabs>
          <w:tab w:val="num" w:pos="4320"/>
        </w:tabs>
        <w:ind w:left="4320" w:hanging="360"/>
      </w:pPr>
      <w:rPr>
        <w:rFonts w:ascii="Arial" w:hAnsi="Arial" w:hint="default"/>
      </w:rPr>
    </w:lvl>
    <w:lvl w:ilvl="6" w:tplc="F4A61390" w:tentative="1">
      <w:start w:val="1"/>
      <w:numFmt w:val="bullet"/>
      <w:lvlText w:val="•"/>
      <w:lvlJc w:val="left"/>
      <w:pPr>
        <w:tabs>
          <w:tab w:val="num" w:pos="5040"/>
        </w:tabs>
        <w:ind w:left="5040" w:hanging="360"/>
      </w:pPr>
      <w:rPr>
        <w:rFonts w:ascii="Arial" w:hAnsi="Arial" w:hint="default"/>
      </w:rPr>
    </w:lvl>
    <w:lvl w:ilvl="7" w:tplc="BD0C1836" w:tentative="1">
      <w:start w:val="1"/>
      <w:numFmt w:val="bullet"/>
      <w:lvlText w:val="•"/>
      <w:lvlJc w:val="left"/>
      <w:pPr>
        <w:tabs>
          <w:tab w:val="num" w:pos="5760"/>
        </w:tabs>
        <w:ind w:left="5760" w:hanging="360"/>
      </w:pPr>
      <w:rPr>
        <w:rFonts w:ascii="Arial" w:hAnsi="Arial" w:hint="default"/>
      </w:rPr>
    </w:lvl>
    <w:lvl w:ilvl="8" w:tplc="2520B9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0A7771"/>
    <w:multiLevelType w:val="hybridMultilevel"/>
    <w:tmpl w:val="1E2CC1DE"/>
    <w:lvl w:ilvl="0" w:tplc="577829AC">
      <w:numFmt w:val="bullet"/>
      <w:lvlText w:val="•"/>
      <w:lvlJc w:val="left"/>
      <w:pPr>
        <w:ind w:left="1080" w:hanging="72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D6CEC"/>
    <w:multiLevelType w:val="hybridMultilevel"/>
    <w:tmpl w:val="2FB2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E6C6D"/>
    <w:multiLevelType w:val="hybridMultilevel"/>
    <w:tmpl w:val="C0B46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1727B4"/>
    <w:multiLevelType w:val="hybridMultilevel"/>
    <w:tmpl w:val="9448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07064"/>
    <w:multiLevelType w:val="hybridMultilevel"/>
    <w:tmpl w:val="140204BE"/>
    <w:lvl w:ilvl="0" w:tplc="F892BF3E">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03D45"/>
    <w:multiLevelType w:val="hybridMultilevel"/>
    <w:tmpl w:val="A392CB2A"/>
    <w:lvl w:ilvl="0" w:tplc="577829AC">
      <w:numFmt w:val="bullet"/>
      <w:lvlText w:val="•"/>
      <w:lvlJc w:val="left"/>
      <w:pPr>
        <w:ind w:left="1080" w:hanging="72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00246"/>
    <w:multiLevelType w:val="hybridMultilevel"/>
    <w:tmpl w:val="AAE48FC6"/>
    <w:lvl w:ilvl="0" w:tplc="E2883E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344B"/>
    <w:multiLevelType w:val="hybridMultilevel"/>
    <w:tmpl w:val="E4DA2092"/>
    <w:lvl w:ilvl="0" w:tplc="F892BF3E">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40D9B"/>
    <w:multiLevelType w:val="hybridMultilevel"/>
    <w:tmpl w:val="2D22D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9D614E"/>
    <w:multiLevelType w:val="hybridMultilevel"/>
    <w:tmpl w:val="4EB6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847ACE"/>
    <w:multiLevelType w:val="hybridMultilevel"/>
    <w:tmpl w:val="172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F2D5A"/>
    <w:multiLevelType w:val="multilevel"/>
    <w:tmpl w:val="20A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1300D"/>
    <w:multiLevelType w:val="hybridMultilevel"/>
    <w:tmpl w:val="EB1E9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E72C1"/>
    <w:multiLevelType w:val="hybridMultilevel"/>
    <w:tmpl w:val="4DDEBCD6"/>
    <w:lvl w:ilvl="0" w:tplc="F892BF3E">
      <w:numFmt w:val="bullet"/>
      <w:lvlText w:val="•"/>
      <w:lvlJc w:val="left"/>
      <w:pPr>
        <w:ind w:left="720" w:hanging="360"/>
      </w:pPr>
      <w:rPr>
        <w:rFonts w:ascii="Century Gothic" w:eastAsiaTheme="minorHAnsi" w:hAnsi="Century Gothic"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02E9B"/>
    <w:multiLevelType w:val="hybridMultilevel"/>
    <w:tmpl w:val="D2E2D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B31154"/>
    <w:multiLevelType w:val="hybridMultilevel"/>
    <w:tmpl w:val="FCC0ECD4"/>
    <w:lvl w:ilvl="0" w:tplc="F892BF3E">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5459E"/>
    <w:multiLevelType w:val="hybridMultilevel"/>
    <w:tmpl w:val="1A489916"/>
    <w:lvl w:ilvl="0" w:tplc="F892BF3E">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D4D05"/>
    <w:multiLevelType w:val="multilevel"/>
    <w:tmpl w:val="B9347C42"/>
    <w:lvl w:ilvl="0">
      <w:start w:val="1"/>
      <w:numFmt w:val="decimal"/>
      <w:pStyle w:val="BoardHeading1"/>
      <w:lvlText w:val="%1"/>
      <w:lvlJc w:val="left"/>
      <w:pPr>
        <w:ind w:left="432" w:hanging="432"/>
      </w:pPr>
    </w:lvl>
    <w:lvl w:ilvl="1">
      <w:start w:val="1"/>
      <w:numFmt w:val="decimal"/>
      <w:pStyle w:val="Board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CC8369C"/>
    <w:multiLevelType w:val="hybridMultilevel"/>
    <w:tmpl w:val="71649436"/>
    <w:lvl w:ilvl="0" w:tplc="577829AC">
      <w:numFmt w:val="bullet"/>
      <w:lvlText w:val="•"/>
      <w:lvlJc w:val="left"/>
      <w:pPr>
        <w:ind w:left="1080" w:hanging="72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A66A8"/>
    <w:multiLevelType w:val="hybridMultilevel"/>
    <w:tmpl w:val="AE7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44321"/>
    <w:multiLevelType w:val="hybridMultilevel"/>
    <w:tmpl w:val="0C6A7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830BB"/>
    <w:multiLevelType w:val="hybridMultilevel"/>
    <w:tmpl w:val="5756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652EA"/>
    <w:multiLevelType w:val="hybridMultilevel"/>
    <w:tmpl w:val="537A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51074"/>
    <w:multiLevelType w:val="hybridMultilevel"/>
    <w:tmpl w:val="E028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10D0C"/>
    <w:multiLevelType w:val="hybridMultilevel"/>
    <w:tmpl w:val="8294D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646D1C"/>
    <w:multiLevelType w:val="hybridMultilevel"/>
    <w:tmpl w:val="248A3B7E"/>
    <w:lvl w:ilvl="0" w:tplc="9A6E10CE">
      <w:start w:val="1466"/>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61A72"/>
    <w:multiLevelType w:val="hybridMultilevel"/>
    <w:tmpl w:val="68AE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B4E87"/>
    <w:multiLevelType w:val="hybridMultilevel"/>
    <w:tmpl w:val="B3E49F12"/>
    <w:lvl w:ilvl="0" w:tplc="B8F07848">
      <w:start w:val="1"/>
      <w:numFmt w:val="bullet"/>
      <w:lvlText w:val="–"/>
      <w:lvlJc w:val="left"/>
      <w:pPr>
        <w:tabs>
          <w:tab w:val="num" w:pos="720"/>
        </w:tabs>
        <w:ind w:left="720" w:hanging="360"/>
      </w:pPr>
      <w:rPr>
        <w:rFonts w:ascii="Trebuchet MS" w:hAnsi="Trebuchet MS" w:hint="default"/>
      </w:rPr>
    </w:lvl>
    <w:lvl w:ilvl="1" w:tplc="08090001">
      <w:start w:val="1"/>
      <w:numFmt w:val="bullet"/>
      <w:lvlText w:val=""/>
      <w:lvlJc w:val="left"/>
      <w:pPr>
        <w:tabs>
          <w:tab w:val="num" w:pos="1440"/>
        </w:tabs>
        <w:ind w:left="1440" w:hanging="360"/>
      </w:pPr>
      <w:rPr>
        <w:rFonts w:ascii="Symbol" w:hAnsi="Symbol" w:hint="default"/>
      </w:rPr>
    </w:lvl>
    <w:lvl w:ilvl="2" w:tplc="ED86ED4A" w:tentative="1">
      <w:start w:val="1"/>
      <w:numFmt w:val="bullet"/>
      <w:lvlText w:val="–"/>
      <w:lvlJc w:val="left"/>
      <w:pPr>
        <w:tabs>
          <w:tab w:val="num" w:pos="2160"/>
        </w:tabs>
        <w:ind w:left="2160" w:hanging="360"/>
      </w:pPr>
      <w:rPr>
        <w:rFonts w:ascii="Trebuchet MS" w:hAnsi="Trebuchet MS" w:hint="default"/>
      </w:rPr>
    </w:lvl>
    <w:lvl w:ilvl="3" w:tplc="EAC2D164" w:tentative="1">
      <w:start w:val="1"/>
      <w:numFmt w:val="bullet"/>
      <w:lvlText w:val="–"/>
      <w:lvlJc w:val="left"/>
      <w:pPr>
        <w:tabs>
          <w:tab w:val="num" w:pos="2880"/>
        </w:tabs>
        <w:ind w:left="2880" w:hanging="360"/>
      </w:pPr>
      <w:rPr>
        <w:rFonts w:ascii="Trebuchet MS" w:hAnsi="Trebuchet MS" w:hint="default"/>
      </w:rPr>
    </w:lvl>
    <w:lvl w:ilvl="4" w:tplc="A8C03D4C" w:tentative="1">
      <w:start w:val="1"/>
      <w:numFmt w:val="bullet"/>
      <w:lvlText w:val="–"/>
      <w:lvlJc w:val="left"/>
      <w:pPr>
        <w:tabs>
          <w:tab w:val="num" w:pos="3600"/>
        </w:tabs>
        <w:ind w:left="3600" w:hanging="360"/>
      </w:pPr>
      <w:rPr>
        <w:rFonts w:ascii="Trebuchet MS" w:hAnsi="Trebuchet MS" w:hint="default"/>
      </w:rPr>
    </w:lvl>
    <w:lvl w:ilvl="5" w:tplc="0F7EC5B6" w:tentative="1">
      <w:start w:val="1"/>
      <w:numFmt w:val="bullet"/>
      <w:lvlText w:val="–"/>
      <w:lvlJc w:val="left"/>
      <w:pPr>
        <w:tabs>
          <w:tab w:val="num" w:pos="4320"/>
        </w:tabs>
        <w:ind w:left="4320" w:hanging="360"/>
      </w:pPr>
      <w:rPr>
        <w:rFonts w:ascii="Trebuchet MS" w:hAnsi="Trebuchet MS" w:hint="default"/>
      </w:rPr>
    </w:lvl>
    <w:lvl w:ilvl="6" w:tplc="7D045F14" w:tentative="1">
      <w:start w:val="1"/>
      <w:numFmt w:val="bullet"/>
      <w:lvlText w:val="–"/>
      <w:lvlJc w:val="left"/>
      <w:pPr>
        <w:tabs>
          <w:tab w:val="num" w:pos="5040"/>
        </w:tabs>
        <w:ind w:left="5040" w:hanging="360"/>
      </w:pPr>
      <w:rPr>
        <w:rFonts w:ascii="Trebuchet MS" w:hAnsi="Trebuchet MS" w:hint="default"/>
      </w:rPr>
    </w:lvl>
    <w:lvl w:ilvl="7" w:tplc="F22622D8" w:tentative="1">
      <w:start w:val="1"/>
      <w:numFmt w:val="bullet"/>
      <w:lvlText w:val="–"/>
      <w:lvlJc w:val="left"/>
      <w:pPr>
        <w:tabs>
          <w:tab w:val="num" w:pos="5760"/>
        </w:tabs>
        <w:ind w:left="5760" w:hanging="360"/>
      </w:pPr>
      <w:rPr>
        <w:rFonts w:ascii="Trebuchet MS" w:hAnsi="Trebuchet MS" w:hint="default"/>
      </w:rPr>
    </w:lvl>
    <w:lvl w:ilvl="8" w:tplc="417A59AA" w:tentative="1">
      <w:start w:val="1"/>
      <w:numFmt w:val="bullet"/>
      <w:lvlText w:val="–"/>
      <w:lvlJc w:val="left"/>
      <w:pPr>
        <w:tabs>
          <w:tab w:val="num" w:pos="6480"/>
        </w:tabs>
        <w:ind w:left="6480" w:hanging="360"/>
      </w:pPr>
      <w:rPr>
        <w:rFonts w:ascii="Trebuchet MS" w:hAnsi="Trebuchet MS" w:hint="default"/>
      </w:rPr>
    </w:lvl>
  </w:abstractNum>
  <w:abstractNum w:abstractNumId="38" w15:restartNumberingAfterBreak="0">
    <w:nsid w:val="76D2302D"/>
    <w:multiLevelType w:val="hybridMultilevel"/>
    <w:tmpl w:val="492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27F45"/>
    <w:multiLevelType w:val="hybridMultilevel"/>
    <w:tmpl w:val="B1FA7680"/>
    <w:lvl w:ilvl="0" w:tplc="577829AC">
      <w:numFmt w:val="bullet"/>
      <w:lvlText w:val="•"/>
      <w:lvlJc w:val="left"/>
      <w:pPr>
        <w:ind w:left="1080" w:hanging="72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4"/>
  </w:num>
  <w:num w:numId="4">
    <w:abstractNumId w:val="31"/>
  </w:num>
  <w:num w:numId="5">
    <w:abstractNumId w:val="11"/>
  </w:num>
  <w:num w:numId="6">
    <w:abstractNumId w:val="34"/>
  </w:num>
  <w:num w:numId="7">
    <w:abstractNumId w:val="22"/>
  </w:num>
  <w:num w:numId="8">
    <w:abstractNumId w:val="1"/>
  </w:num>
  <w:num w:numId="9">
    <w:abstractNumId w:val="5"/>
  </w:num>
  <w:num w:numId="10">
    <w:abstractNumId w:val="0"/>
  </w:num>
  <w:num w:numId="11">
    <w:abstractNumId w:val="32"/>
  </w:num>
  <w:num w:numId="12">
    <w:abstractNumId w:val="10"/>
  </w:num>
  <w:num w:numId="13">
    <w:abstractNumId w:val="28"/>
  </w:num>
  <w:num w:numId="14">
    <w:abstractNumId w:val="15"/>
  </w:num>
  <w:num w:numId="15">
    <w:abstractNumId w:val="39"/>
  </w:num>
  <w:num w:numId="16">
    <w:abstractNumId w:val="21"/>
  </w:num>
  <w:num w:numId="17">
    <w:abstractNumId w:val="18"/>
  </w:num>
  <w:num w:numId="18">
    <w:abstractNumId w:val="33"/>
  </w:num>
  <w:num w:numId="19">
    <w:abstractNumId w:val="6"/>
  </w:num>
  <w:num w:numId="20">
    <w:abstractNumId w:val="12"/>
  </w:num>
  <w:num w:numId="21">
    <w:abstractNumId w:val="36"/>
  </w:num>
  <w:num w:numId="22">
    <w:abstractNumId w:val="3"/>
  </w:num>
  <w:num w:numId="23">
    <w:abstractNumId w:val="17"/>
  </w:num>
  <w:num w:numId="24">
    <w:abstractNumId w:val="25"/>
  </w:num>
  <w:num w:numId="25">
    <w:abstractNumId w:val="23"/>
  </w:num>
  <w:num w:numId="26">
    <w:abstractNumId w:val="14"/>
  </w:num>
  <w:num w:numId="27">
    <w:abstractNumId w:val="26"/>
  </w:num>
  <w:num w:numId="28">
    <w:abstractNumId w:val="13"/>
  </w:num>
  <w:num w:numId="29">
    <w:abstractNumId w:val="4"/>
  </w:num>
  <w:num w:numId="30">
    <w:abstractNumId w:val="2"/>
  </w:num>
  <w:num w:numId="31">
    <w:abstractNumId w:val="37"/>
  </w:num>
  <w:num w:numId="32">
    <w:abstractNumId w:val="30"/>
  </w:num>
  <w:num w:numId="33">
    <w:abstractNumId w:val="9"/>
  </w:num>
  <w:num w:numId="34">
    <w:abstractNumId w:val="35"/>
  </w:num>
  <w:num w:numId="35">
    <w:abstractNumId w:val="7"/>
  </w:num>
  <w:num w:numId="36">
    <w:abstractNumId w:val="38"/>
  </w:num>
  <w:num w:numId="37">
    <w:abstractNumId w:val="29"/>
  </w:num>
  <w:num w:numId="38">
    <w:abstractNumId w:val="8"/>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42"/>
    <w:rsid w:val="00015238"/>
    <w:rsid w:val="00016578"/>
    <w:rsid w:val="0003516F"/>
    <w:rsid w:val="0004434C"/>
    <w:rsid w:val="00052E54"/>
    <w:rsid w:val="00066F22"/>
    <w:rsid w:val="00082A3B"/>
    <w:rsid w:val="0008311C"/>
    <w:rsid w:val="0009172C"/>
    <w:rsid w:val="000A422F"/>
    <w:rsid w:val="000A609C"/>
    <w:rsid w:val="000B1E11"/>
    <w:rsid w:val="000B2240"/>
    <w:rsid w:val="000B5CC5"/>
    <w:rsid w:val="000C5A41"/>
    <w:rsid w:val="000E6FBD"/>
    <w:rsid w:val="00100704"/>
    <w:rsid w:val="00101731"/>
    <w:rsid w:val="00146302"/>
    <w:rsid w:val="00147227"/>
    <w:rsid w:val="00154C87"/>
    <w:rsid w:val="00182B8D"/>
    <w:rsid w:val="00185991"/>
    <w:rsid w:val="001A7D97"/>
    <w:rsid w:val="001C5459"/>
    <w:rsid w:val="001C5EF0"/>
    <w:rsid w:val="001D76CA"/>
    <w:rsid w:val="001F07DC"/>
    <w:rsid w:val="001F43DA"/>
    <w:rsid w:val="0020114C"/>
    <w:rsid w:val="002011A3"/>
    <w:rsid w:val="00207397"/>
    <w:rsid w:val="0021047E"/>
    <w:rsid w:val="002106A1"/>
    <w:rsid w:val="002134E0"/>
    <w:rsid w:val="002147B7"/>
    <w:rsid w:val="00226E08"/>
    <w:rsid w:val="00230D6D"/>
    <w:rsid w:val="00231F31"/>
    <w:rsid w:val="00232869"/>
    <w:rsid w:val="00245C42"/>
    <w:rsid w:val="002513EA"/>
    <w:rsid w:val="00256768"/>
    <w:rsid w:val="00265D56"/>
    <w:rsid w:val="00281488"/>
    <w:rsid w:val="00281F84"/>
    <w:rsid w:val="002831C4"/>
    <w:rsid w:val="002B337A"/>
    <w:rsid w:val="002B42DC"/>
    <w:rsid w:val="002C34EB"/>
    <w:rsid w:val="002D6C61"/>
    <w:rsid w:val="002E0EED"/>
    <w:rsid w:val="002E1B37"/>
    <w:rsid w:val="002E1BDA"/>
    <w:rsid w:val="00305294"/>
    <w:rsid w:val="00311610"/>
    <w:rsid w:val="00321504"/>
    <w:rsid w:val="00333DAA"/>
    <w:rsid w:val="003412F5"/>
    <w:rsid w:val="00352FB5"/>
    <w:rsid w:val="00357848"/>
    <w:rsid w:val="00363C1C"/>
    <w:rsid w:val="00371739"/>
    <w:rsid w:val="00375EEE"/>
    <w:rsid w:val="003A0CA7"/>
    <w:rsid w:val="003A1C31"/>
    <w:rsid w:val="003C05E8"/>
    <w:rsid w:val="003C0A39"/>
    <w:rsid w:val="003D12EC"/>
    <w:rsid w:val="003D2F5D"/>
    <w:rsid w:val="00400351"/>
    <w:rsid w:val="00401533"/>
    <w:rsid w:val="0042688D"/>
    <w:rsid w:val="00427C93"/>
    <w:rsid w:val="00436FC5"/>
    <w:rsid w:val="004476CE"/>
    <w:rsid w:val="004750F4"/>
    <w:rsid w:val="00477231"/>
    <w:rsid w:val="004953E4"/>
    <w:rsid w:val="004D1E97"/>
    <w:rsid w:val="004F05A9"/>
    <w:rsid w:val="004F5998"/>
    <w:rsid w:val="004F5E44"/>
    <w:rsid w:val="00524989"/>
    <w:rsid w:val="00534A1C"/>
    <w:rsid w:val="005360D7"/>
    <w:rsid w:val="00537BF8"/>
    <w:rsid w:val="005507B1"/>
    <w:rsid w:val="00550D8B"/>
    <w:rsid w:val="00585A09"/>
    <w:rsid w:val="00592355"/>
    <w:rsid w:val="005A3799"/>
    <w:rsid w:val="005A3A8F"/>
    <w:rsid w:val="005B142F"/>
    <w:rsid w:val="005B512C"/>
    <w:rsid w:val="005B646D"/>
    <w:rsid w:val="005D0D71"/>
    <w:rsid w:val="005D3775"/>
    <w:rsid w:val="005E061F"/>
    <w:rsid w:val="005E1A98"/>
    <w:rsid w:val="005E3ED8"/>
    <w:rsid w:val="005F1AC1"/>
    <w:rsid w:val="00617966"/>
    <w:rsid w:val="0062622C"/>
    <w:rsid w:val="00643B0F"/>
    <w:rsid w:val="00644228"/>
    <w:rsid w:val="00654E26"/>
    <w:rsid w:val="00663F23"/>
    <w:rsid w:val="00664FE8"/>
    <w:rsid w:val="006719D2"/>
    <w:rsid w:val="00675D03"/>
    <w:rsid w:val="00677D96"/>
    <w:rsid w:val="00683927"/>
    <w:rsid w:val="006A0DE5"/>
    <w:rsid w:val="006A2927"/>
    <w:rsid w:val="006B5756"/>
    <w:rsid w:val="006B6FC9"/>
    <w:rsid w:val="006D6B25"/>
    <w:rsid w:val="006E6745"/>
    <w:rsid w:val="006F4B7C"/>
    <w:rsid w:val="00701D94"/>
    <w:rsid w:val="00704B90"/>
    <w:rsid w:val="00710F58"/>
    <w:rsid w:val="007362EA"/>
    <w:rsid w:val="0073792F"/>
    <w:rsid w:val="0074279A"/>
    <w:rsid w:val="007701EA"/>
    <w:rsid w:val="00790FAE"/>
    <w:rsid w:val="007A1A8E"/>
    <w:rsid w:val="007A48F3"/>
    <w:rsid w:val="007B63FB"/>
    <w:rsid w:val="007E76DC"/>
    <w:rsid w:val="007F09C6"/>
    <w:rsid w:val="007F21BA"/>
    <w:rsid w:val="00800C1D"/>
    <w:rsid w:val="0084049B"/>
    <w:rsid w:val="008471ED"/>
    <w:rsid w:val="00847F68"/>
    <w:rsid w:val="0085399E"/>
    <w:rsid w:val="00856444"/>
    <w:rsid w:val="00865628"/>
    <w:rsid w:val="008731DB"/>
    <w:rsid w:val="00892D1B"/>
    <w:rsid w:val="008A4CB8"/>
    <w:rsid w:val="008A663E"/>
    <w:rsid w:val="008A77D1"/>
    <w:rsid w:val="008B0035"/>
    <w:rsid w:val="008B181C"/>
    <w:rsid w:val="008C1CAF"/>
    <w:rsid w:val="008C6F97"/>
    <w:rsid w:val="008E554E"/>
    <w:rsid w:val="008E6DBC"/>
    <w:rsid w:val="008F4D5A"/>
    <w:rsid w:val="00903EA8"/>
    <w:rsid w:val="00906984"/>
    <w:rsid w:val="00917C64"/>
    <w:rsid w:val="00920EA9"/>
    <w:rsid w:val="009317F8"/>
    <w:rsid w:val="00933839"/>
    <w:rsid w:val="00944F21"/>
    <w:rsid w:val="00950746"/>
    <w:rsid w:val="00957456"/>
    <w:rsid w:val="00975CE5"/>
    <w:rsid w:val="00982A90"/>
    <w:rsid w:val="00990D89"/>
    <w:rsid w:val="009A5097"/>
    <w:rsid w:val="009C6FD3"/>
    <w:rsid w:val="009E6AAC"/>
    <w:rsid w:val="009E7CFD"/>
    <w:rsid w:val="009F264F"/>
    <w:rsid w:val="00A01D7B"/>
    <w:rsid w:val="00A1032C"/>
    <w:rsid w:val="00A14EB7"/>
    <w:rsid w:val="00A207C6"/>
    <w:rsid w:val="00A57954"/>
    <w:rsid w:val="00A84DDA"/>
    <w:rsid w:val="00A91B61"/>
    <w:rsid w:val="00A92B40"/>
    <w:rsid w:val="00AB4694"/>
    <w:rsid w:val="00AC419F"/>
    <w:rsid w:val="00AC4ED0"/>
    <w:rsid w:val="00AD10FE"/>
    <w:rsid w:val="00AD2457"/>
    <w:rsid w:val="00AD7523"/>
    <w:rsid w:val="00AE7C91"/>
    <w:rsid w:val="00AF1B26"/>
    <w:rsid w:val="00AF523F"/>
    <w:rsid w:val="00B01B17"/>
    <w:rsid w:val="00B05A73"/>
    <w:rsid w:val="00B24B7D"/>
    <w:rsid w:val="00B41FD6"/>
    <w:rsid w:val="00B51029"/>
    <w:rsid w:val="00B714C0"/>
    <w:rsid w:val="00B91FEC"/>
    <w:rsid w:val="00B97AE4"/>
    <w:rsid w:val="00BA2D77"/>
    <w:rsid w:val="00BB124E"/>
    <w:rsid w:val="00BB4BEF"/>
    <w:rsid w:val="00BE43D2"/>
    <w:rsid w:val="00BF1036"/>
    <w:rsid w:val="00BF1C34"/>
    <w:rsid w:val="00BF4538"/>
    <w:rsid w:val="00C1331D"/>
    <w:rsid w:val="00C30017"/>
    <w:rsid w:val="00C43268"/>
    <w:rsid w:val="00C50087"/>
    <w:rsid w:val="00C6501D"/>
    <w:rsid w:val="00C832C0"/>
    <w:rsid w:val="00C91641"/>
    <w:rsid w:val="00CA04C1"/>
    <w:rsid w:val="00CA398A"/>
    <w:rsid w:val="00CA668C"/>
    <w:rsid w:val="00CA6D51"/>
    <w:rsid w:val="00CC3410"/>
    <w:rsid w:val="00CE1F93"/>
    <w:rsid w:val="00CE7C55"/>
    <w:rsid w:val="00CF3345"/>
    <w:rsid w:val="00CF3AAB"/>
    <w:rsid w:val="00D21F54"/>
    <w:rsid w:val="00D272B2"/>
    <w:rsid w:val="00D4541F"/>
    <w:rsid w:val="00D4620D"/>
    <w:rsid w:val="00D4699E"/>
    <w:rsid w:val="00D70CD8"/>
    <w:rsid w:val="00D83180"/>
    <w:rsid w:val="00D87D89"/>
    <w:rsid w:val="00DA1DE8"/>
    <w:rsid w:val="00DB396B"/>
    <w:rsid w:val="00DC7B1F"/>
    <w:rsid w:val="00DD521C"/>
    <w:rsid w:val="00DD5818"/>
    <w:rsid w:val="00DE7965"/>
    <w:rsid w:val="00DF07DD"/>
    <w:rsid w:val="00DF07E7"/>
    <w:rsid w:val="00DF7AE4"/>
    <w:rsid w:val="00E00571"/>
    <w:rsid w:val="00E0176B"/>
    <w:rsid w:val="00E04849"/>
    <w:rsid w:val="00E05B1C"/>
    <w:rsid w:val="00E20A7F"/>
    <w:rsid w:val="00E225E0"/>
    <w:rsid w:val="00E26CDC"/>
    <w:rsid w:val="00E338F2"/>
    <w:rsid w:val="00E35955"/>
    <w:rsid w:val="00E3619D"/>
    <w:rsid w:val="00E4070F"/>
    <w:rsid w:val="00E46097"/>
    <w:rsid w:val="00E4688B"/>
    <w:rsid w:val="00E51B3F"/>
    <w:rsid w:val="00E558C9"/>
    <w:rsid w:val="00E61617"/>
    <w:rsid w:val="00E62B01"/>
    <w:rsid w:val="00E71BD2"/>
    <w:rsid w:val="00E908B0"/>
    <w:rsid w:val="00EB1914"/>
    <w:rsid w:val="00EC402D"/>
    <w:rsid w:val="00ED0713"/>
    <w:rsid w:val="00ED3708"/>
    <w:rsid w:val="00ED3B2B"/>
    <w:rsid w:val="00EE7812"/>
    <w:rsid w:val="00F14390"/>
    <w:rsid w:val="00F145B2"/>
    <w:rsid w:val="00F16B72"/>
    <w:rsid w:val="00F350F2"/>
    <w:rsid w:val="00F40432"/>
    <w:rsid w:val="00F503AE"/>
    <w:rsid w:val="00F63AD5"/>
    <w:rsid w:val="00F8390B"/>
    <w:rsid w:val="00F866FB"/>
    <w:rsid w:val="00FC5EBE"/>
    <w:rsid w:val="00FF57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6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F4"/>
    <w:pPr>
      <w:contextualSpacing/>
    </w:pPr>
    <w:rPr>
      <w:rFonts w:ascii="Century Gothic" w:hAnsi="Century Gothic"/>
      <w:color w:val="000000" w:themeColor="text1"/>
    </w:rPr>
  </w:style>
  <w:style w:type="paragraph" w:styleId="Heading1">
    <w:name w:val="heading 1"/>
    <w:basedOn w:val="Normal"/>
    <w:next w:val="Normal"/>
    <w:link w:val="Heading1Char"/>
    <w:uiPriority w:val="9"/>
    <w:qFormat/>
    <w:rsid w:val="004750F4"/>
    <w:pPr>
      <w:keepNext/>
      <w:keepLines/>
      <w:spacing w:before="240" w:after="0"/>
      <w:outlineLvl w:val="0"/>
    </w:pPr>
    <w:rPr>
      <w:rFonts w:eastAsiaTheme="majorEastAsia" w:cstheme="majorBidi"/>
      <w:color w:val="365F91" w:themeColor="accent1" w:themeShade="BF"/>
      <w:sz w:val="32"/>
      <w:szCs w:val="32"/>
    </w:rPr>
  </w:style>
  <w:style w:type="paragraph" w:styleId="Heading3">
    <w:name w:val="heading 3"/>
    <w:basedOn w:val="Normal"/>
    <w:next w:val="Normal"/>
    <w:link w:val="Heading3Char"/>
    <w:qFormat/>
    <w:rsid w:val="005B646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42"/>
    <w:pPr>
      <w:ind w:left="720"/>
    </w:pPr>
  </w:style>
  <w:style w:type="paragraph" w:styleId="NormalWeb">
    <w:name w:val="Normal (Web)"/>
    <w:basedOn w:val="Normal"/>
    <w:uiPriority w:val="99"/>
    <w:unhideWhenUsed/>
    <w:rsid w:val="00C50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5B646D"/>
    <w:rPr>
      <w:rFonts w:ascii="Arial" w:eastAsia="Times New Roman" w:hAnsi="Arial" w:cs="Arial"/>
      <w:b/>
      <w:bCs/>
      <w:sz w:val="26"/>
      <w:szCs w:val="26"/>
      <w:lang w:eastAsia="en-GB"/>
    </w:rPr>
  </w:style>
  <w:style w:type="table" w:styleId="TableGrid">
    <w:name w:val="Table Grid"/>
    <w:basedOn w:val="TableNormal"/>
    <w:uiPriority w:val="59"/>
    <w:rsid w:val="00A1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731"/>
    <w:rPr>
      <w:rFonts w:ascii="Segoe UI" w:hAnsi="Segoe UI" w:cs="Segoe UI"/>
      <w:sz w:val="18"/>
      <w:szCs w:val="18"/>
    </w:rPr>
  </w:style>
  <w:style w:type="character" w:styleId="CommentReference">
    <w:name w:val="annotation reference"/>
    <w:basedOn w:val="DefaultParagraphFont"/>
    <w:uiPriority w:val="99"/>
    <w:semiHidden/>
    <w:unhideWhenUsed/>
    <w:rsid w:val="00101731"/>
    <w:rPr>
      <w:sz w:val="16"/>
      <w:szCs w:val="16"/>
    </w:rPr>
  </w:style>
  <w:style w:type="paragraph" w:styleId="CommentText">
    <w:name w:val="annotation text"/>
    <w:basedOn w:val="Normal"/>
    <w:link w:val="CommentTextChar"/>
    <w:uiPriority w:val="99"/>
    <w:unhideWhenUsed/>
    <w:rsid w:val="00101731"/>
    <w:pPr>
      <w:spacing w:line="240" w:lineRule="auto"/>
    </w:pPr>
    <w:rPr>
      <w:sz w:val="20"/>
      <w:szCs w:val="20"/>
    </w:rPr>
  </w:style>
  <w:style w:type="character" w:customStyle="1" w:styleId="CommentTextChar">
    <w:name w:val="Comment Text Char"/>
    <w:basedOn w:val="DefaultParagraphFont"/>
    <w:link w:val="CommentText"/>
    <w:uiPriority w:val="99"/>
    <w:rsid w:val="00101731"/>
    <w:rPr>
      <w:sz w:val="20"/>
      <w:szCs w:val="20"/>
    </w:rPr>
  </w:style>
  <w:style w:type="paragraph" w:styleId="CommentSubject">
    <w:name w:val="annotation subject"/>
    <w:basedOn w:val="CommentText"/>
    <w:next w:val="CommentText"/>
    <w:link w:val="CommentSubjectChar"/>
    <w:uiPriority w:val="99"/>
    <w:semiHidden/>
    <w:unhideWhenUsed/>
    <w:rsid w:val="00101731"/>
    <w:rPr>
      <w:b/>
      <w:bCs/>
    </w:rPr>
  </w:style>
  <w:style w:type="character" w:customStyle="1" w:styleId="CommentSubjectChar">
    <w:name w:val="Comment Subject Char"/>
    <w:basedOn w:val="CommentTextChar"/>
    <w:link w:val="CommentSubject"/>
    <w:uiPriority w:val="99"/>
    <w:semiHidden/>
    <w:rsid w:val="00101731"/>
    <w:rPr>
      <w:b/>
      <w:bCs/>
      <w:sz w:val="20"/>
      <w:szCs w:val="20"/>
    </w:rPr>
  </w:style>
  <w:style w:type="paragraph" w:styleId="Header">
    <w:name w:val="header"/>
    <w:basedOn w:val="Normal"/>
    <w:link w:val="HeaderChar"/>
    <w:uiPriority w:val="99"/>
    <w:unhideWhenUsed/>
    <w:rsid w:val="008A6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63E"/>
  </w:style>
  <w:style w:type="paragraph" w:styleId="Footer">
    <w:name w:val="footer"/>
    <w:basedOn w:val="Normal"/>
    <w:link w:val="FooterChar"/>
    <w:uiPriority w:val="99"/>
    <w:unhideWhenUsed/>
    <w:rsid w:val="008A6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63E"/>
  </w:style>
  <w:style w:type="character" w:styleId="Hyperlink">
    <w:name w:val="Hyperlink"/>
    <w:basedOn w:val="DefaultParagraphFont"/>
    <w:uiPriority w:val="99"/>
    <w:unhideWhenUsed/>
    <w:rsid w:val="00015238"/>
    <w:rPr>
      <w:color w:val="0000FF" w:themeColor="hyperlink"/>
      <w:u w:val="single"/>
    </w:rPr>
  </w:style>
  <w:style w:type="paragraph" w:styleId="NoSpacing">
    <w:name w:val="No Spacing"/>
    <w:uiPriority w:val="1"/>
    <w:qFormat/>
    <w:rsid w:val="00E558C9"/>
    <w:pPr>
      <w:spacing w:after="0" w:line="240" w:lineRule="auto"/>
    </w:pPr>
  </w:style>
  <w:style w:type="table" w:customStyle="1" w:styleId="TableGrid1">
    <w:name w:val="Table Grid1"/>
    <w:basedOn w:val="TableNormal"/>
    <w:next w:val="TableGrid"/>
    <w:uiPriority w:val="59"/>
    <w:rsid w:val="0044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0F4"/>
    <w:rPr>
      <w:rFonts w:ascii="Century Gothic" w:eastAsiaTheme="majorEastAsia" w:hAnsi="Century Gothic" w:cstheme="majorBidi"/>
      <w:color w:val="365F91" w:themeColor="accent1" w:themeShade="BF"/>
      <w:sz w:val="32"/>
      <w:szCs w:val="32"/>
    </w:rPr>
  </w:style>
  <w:style w:type="table" w:customStyle="1" w:styleId="TableGrid2">
    <w:name w:val="Table Grid2"/>
    <w:basedOn w:val="TableNormal"/>
    <w:next w:val="TableGrid"/>
    <w:uiPriority w:val="59"/>
    <w:rsid w:val="00D4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D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ardHeading1">
    <w:name w:val="Board Heading 1"/>
    <w:basedOn w:val="Normal"/>
    <w:next w:val="Board2"/>
    <w:qFormat/>
    <w:rsid w:val="004750F4"/>
    <w:pPr>
      <w:numPr>
        <w:numId w:val="40"/>
      </w:numPr>
      <w:tabs>
        <w:tab w:val="right" w:pos="7513"/>
      </w:tabs>
      <w:spacing w:before="240" w:after="240" w:line="240" w:lineRule="auto"/>
      <w:contextualSpacing w:val="0"/>
    </w:pPr>
    <w:rPr>
      <w:rFonts w:ascii="Arial" w:eastAsia="Times New Roman" w:hAnsi="Arial" w:cs="Arial"/>
      <w:b/>
      <w:color w:val="auto"/>
      <w:sz w:val="20"/>
      <w:szCs w:val="20"/>
      <w:lang w:eastAsia="en-GB"/>
    </w:rPr>
  </w:style>
  <w:style w:type="paragraph" w:customStyle="1" w:styleId="Board2">
    <w:name w:val="Board 2"/>
    <w:basedOn w:val="BoardHeading1"/>
    <w:link w:val="Board2Char"/>
    <w:qFormat/>
    <w:rsid w:val="004750F4"/>
    <w:pPr>
      <w:numPr>
        <w:ilvl w:val="1"/>
      </w:numPr>
      <w:spacing w:before="0" w:after="120"/>
    </w:pPr>
    <w:rPr>
      <w:b w:val="0"/>
    </w:rPr>
  </w:style>
  <w:style w:type="character" w:customStyle="1" w:styleId="Board2Char">
    <w:name w:val="Board 2 Char"/>
    <w:basedOn w:val="DefaultParagraphFont"/>
    <w:link w:val="Board2"/>
    <w:rsid w:val="004750F4"/>
    <w:rPr>
      <w:rFonts w:ascii="Arial" w:eastAsia="Times New Roman" w:hAnsi="Arial" w:cs="Arial"/>
      <w:sz w:val="20"/>
      <w:szCs w:val="20"/>
      <w:lang w:eastAsia="en-GB"/>
    </w:rPr>
  </w:style>
  <w:style w:type="paragraph" w:styleId="FootnoteText">
    <w:name w:val="footnote text"/>
    <w:basedOn w:val="Normal"/>
    <w:link w:val="FootnoteTextChar"/>
    <w:uiPriority w:val="99"/>
    <w:semiHidden/>
    <w:unhideWhenUsed/>
    <w:rsid w:val="00737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92F"/>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737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201">
      <w:bodyDiv w:val="1"/>
      <w:marLeft w:val="0"/>
      <w:marRight w:val="0"/>
      <w:marTop w:val="0"/>
      <w:marBottom w:val="0"/>
      <w:divBdr>
        <w:top w:val="none" w:sz="0" w:space="0" w:color="auto"/>
        <w:left w:val="none" w:sz="0" w:space="0" w:color="auto"/>
        <w:bottom w:val="none" w:sz="0" w:space="0" w:color="auto"/>
        <w:right w:val="none" w:sz="0" w:space="0" w:color="auto"/>
      </w:divBdr>
    </w:div>
    <w:div w:id="149912306">
      <w:bodyDiv w:val="1"/>
      <w:marLeft w:val="0"/>
      <w:marRight w:val="0"/>
      <w:marTop w:val="0"/>
      <w:marBottom w:val="0"/>
      <w:divBdr>
        <w:top w:val="none" w:sz="0" w:space="0" w:color="auto"/>
        <w:left w:val="none" w:sz="0" w:space="0" w:color="auto"/>
        <w:bottom w:val="none" w:sz="0" w:space="0" w:color="auto"/>
        <w:right w:val="none" w:sz="0" w:space="0" w:color="auto"/>
      </w:divBdr>
    </w:div>
    <w:div w:id="300426395">
      <w:bodyDiv w:val="1"/>
      <w:marLeft w:val="0"/>
      <w:marRight w:val="0"/>
      <w:marTop w:val="0"/>
      <w:marBottom w:val="0"/>
      <w:divBdr>
        <w:top w:val="none" w:sz="0" w:space="0" w:color="auto"/>
        <w:left w:val="none" w:sz="0" w:space="0" w:color="auto"/>
        <w:bottom w:val="none" w:sz="0" w:space="0" w:color="auto"/>
        <w:right w:val="none" w:sz="0" w:space="0" w:color="auto"/>
      </w:divBdr>
    </w:div>
    <w:div w:id="303773737">
      <w:bodyDiv w:val="1"/>
      <w:marLeft w:val="0"/>
      <w:marRight w:val="0"/>
      <w:marTop w:val="0"/>
      <w:marBottom w:val="0"/>
      <w:divBdr>
        <w:top w:val="none" w:sz="0" w:space="0" w:color="auto"/>
        <w:left w:val="none" w:sz="0" w:space="0" w:color="auto"/>
        <w:bottom w:val="none" w:sz="0" w:space="0" w:color="auto"/>
        <w:right w:val="none" w:sz="0" w:space="0" w:color="auto"/>
      </w:divBdr>
    </w:div>
    <w:div w:id="494806816">
      <w:bodyDiv w:val="1"/>
      <w:marLeft w:val="0"/>
      <w:marRight w:val="0"/>
      <w:marTop w:val="0"/>
      <w:marBottom w:val="0"/>
      <w:divBdr>
        <w:top w:val="none" w:sz="0" w:space="0" w:color="auto"/>
        <w:left w:val="none" w:sz="0" w:space="0" w:color="auto"/>
        <w:bottom w:val="none" w:sz="0" w:space="0" w:color="auto"/>
        <w:right w:val="none" w:sz="0" w:space="0" w:color="auto"/>
      </w:divBdr>
    </w:div>
    <w:div w:id="1010180304">
      <w:bodyDiv w:val="1"/>
      <w:marLeft w:val="0"/>
      <w:marRight w:val="0"/>
      <w:marTop w:val="0"/>
      <w:marBottom w:val="0"/>
      <w:divBdr>
        <w:top w:val="none" w:sz="0" w:space="0" w:color="auto"/>
        <w:left w:val="none" w:sz="0" w:space="0" w:color="auto"/>
        <w:bottom w:val="none" w:sz="0" w:space="0" w:color="auto"/>
        <w:right w:val="none" w:sz="0" w:space="0" w:color="auto"/>
      </w:divBdr>
    </w:div>
    <w:div w:id="1078330546">
      <w:bodyDiv w:val="1"/>
      <w:marLeft w:val="0"/>
      <w:marRight w:val="0"/>
      <w:marTop w:val="0"/>
      <w:marBottom w:val="0"/>
      <w:divBdr>
        <w:top w:val="none" w:sz="0" w:space="0" w:color="auto"/>
        <w:left w:val="none" w:sz="0" w:space="0" w:color="auto"/>
        <w:bottom w:val="none" w:sz="0" w:space="0" w:color="auto"/>
        <w:right w:val="none" w:sz="0" w:space="0" w:color="auto"/>
      </w:divBdr>
    </w:div>
    <w:div w:id="1079057731">
      <w:bodyDiv w:val="1"/>
      <w:marLeft w:val="0"/>
      <w:marRight w:val="0"/>
      <w:marTop w:val="0"/>
      <w:marBottom w:val="0"/>
      <w:divBdr>
        <w:top w:val="none" w:sz="0" w:space="0" w:color="auto"/>
        <w:left w:val="none" w:sz="0" w:space="0" w:color="auto"/>
        <w:bottom w:val="none" w:sz="0" w:space="0" w:color="auto"/>
        <w:right w:val="none" w:sz="0" w:space="0" w:color="auto"/>
      </w:divBdr>
    </w:div>
    <w:div w:id="1867985203">
      <w:bodyDiv w:val="1"/>
      <w:marLeft w:val="0"/>
      <w:marRight w:val="0"/>
      <w:marTop w:val="0"/>
      <w:marBottom w:val="0"/>
      <w:divBdr>
        <w:top w:val="none" w:sz="0" w:space="0" w:color="auto"/>
        <w:left w:val="none" w:sz="0" w:space="0" w:color="auto"/>
        <w:bottom w:val="none" w:sz="0" w:space="0" w:color="auto"/>
        <w:right w:val="none" w:sz="0" w:space="0" w:color="auto"/>
      </w:divBdr>
    </w:div>
    <w:div w:id="19946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oncakova@bournemouth.ac.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urnemouth.ac.uk/research/centres-institutes/institute-medical-imaging-visualis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tee@bournemouth.ac.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orsetlep.co.uk/institute-for-MI-and-visu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766C-10F4-4304-B0DE-E48DF7EE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2020-08-04T15:32:00Z</dcterms:created>
  <dcterms:modified xsi:type="dcterms:W3CDTF">2020-08-06T14:46:00Z</dcterms:modified>
</cp:coreProperties>
</file>